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1D3BCE9">
      <w:pPr>
        <w:spacing w:beforeLines="0" w:afterLines="0" w:line="540" w:lineRule="exact"/>
        <w:jc w:val="left"/>
        <w:rPr>
          <w:rFonts w:hint="eastAsia" w:ascii="微软雅黑" w:hAnsi="微软雅黑" w:eastAsia="微软雅黑" w:cs="微软雅黑"/>
          <w:sz w:val="32"/>
          <w:szCs w:val="32"/>
        </w:rPr>
      </w:pPr>
      <w:r>
        <w:rPr>
          <w:rFonts w:hint="eastAsia" w:ascii="黑体" w:hAnsi="黑体" w:eastAsia="黑体" w:cs="黑体"/>
          <w:color w:val="000000"/>
          <w:sz w:val="32"/>
          <w:szCs w:val="32"/>
        </w:rPr>
        <w:t>附件4</w:t>
      </w:r>
    </w:p>
    <w:p w14:paraId="060E7558">
      <w:pPr>
        <w:spacing w:beforeLines="0" w:afterLines="0" w:line="540" w:lineRule="exact"/>
        <w:jc w:val="center"/>
        <w:rPr>
          <w:rFonts w:hint="eastAsia" w:ascii="方正公文小标宋" w:hAnsi="方正公文小标宋" w:eastAsia="方正公文小标宋" w:cs="方正公文小标宋"/>
          <w:sz w:val="32"/>
          <w:szCs w:val="32"/>
        </w:rPr>
      </w:pPr>
      <w:r>
        <w:rPr>
          <w:rFonts w:hint="eastAsia" w:ascii="方正公文小标宋" w:hAnsi="方正公文小标宋" w:eastAsia="方正公文小标宋" w:cs="方正公文小标宋"/>
          <w:sz w:val="32"/>
          <w:szCs w:val="32"/>
        </w:rPr>
        <w:t>企业赛道、乡村振兴赛道项目竞赛工作方案</w:t>
      </w:r>
    </w:p>
    <w:p w14:paraId="6E661D58">
      <w:pPr>
        <w:spacing w:beforeLines="0" w:afterLines="0" w:line="540" w:lineRule="exact"/>
        <w:jc w:val="center"/>
        <w:rPr>
          <w:rFonts w:hint="eastAsia" w:ascii="仿宋_GB2312" w:hAnsi="微软雅黑" w:eastAsia="仿宋_GB2312" w:cs="微软雅黑"/>
          <w:sz w:val="32"/>
          <w:szCs w:val="32"/>
          <w:highlight w:val="yellow"/>
        </w:rPr>
      </w:pPr>
    </w:p>
    <w:p w14:paraId="096383AE">
      <w:pPr>
        <w:keepNext w:val="0"/>
        <w:keepLines w:val="0"/>
        <w:pageBreakBefore w:val="0"/>
        <w:widowControl/>
        <w:kinsoku/>
        <w:wordWrap/>
        <w:overflowPunct/>
        <w:topLinePunct w:val="0"/>
        <w:autoSpaceDE/>
        <w:autoSpaceDN/>
        <w:bidi w:val="0"/>
        <w:adjustRightInd/>
        <w:snapToGrid/>
        <w:spacing w:beforeLines="0" w:afterLines="0" w:line="540" w:lineRule="exact"/>
        <w:ind w:firstLine="640" w:firstLineChars="200"/>
        <w:jc w:val="left"/>
        <w:textAlignment w:val="auto"/>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第</w:t>
      </w:r>
      <w:r>
        <w:rPr>
          <w:rFonts w:hint="eastAsia" w:ascii="仿宋_GB2312" w:hAnsi="方正仿宋_GB2312" w:eastAsia="仿宋_GB2312" w:cs="方正仿宋_GB2312"/>
          <w:color w:val="000000"/>
          <w:sz w:val="32"/>
          <w:szCs w:val="32"/>
          <w:lang w:val="en-US" w:eastAsia="zh-CN"/>
        </w:rPr>
        <w:t>七</w:t>
      </w:r>
      <w:r>
        <w:rPr>
          <w:rFonts w:hint="eastAsia" w:ascii="仿宋_GB2312" w:hAnsi="方正仿宋_GB2312" w:eastAsia="仿宋_GB2312" w:cs="方正仿宋_GB2312"/>
          <w:color w:val="000000"/>
          <w:sz w:val="32"/>
          <w:szCs w:val="32"/>
        </w:rPr>
        <w:t>届北京市大学生节能节水低碳减排社会实践与科技竞赛增加了企业赛道项目和乡村振兴赛道项目。现将相关安排通知如下。</w:t>
      </w:r>
    </w:p>
    <w:p w14:paraId="4C605A19">
      <w:pPr>
        <w:keepNext w:val="0"/>
        <w:keepLines w:val="0"/>
        <w:pageBreakBefore w:val="0"/>
        <w:widowControl/>
        <w:kinsoku/>
        <w:wordWrap/>
        <w:overflowPunct/>
        <w:topLinePunct w:val="0"/>
        <w:autoSpaceDE/>
        <w:autoSpaceDN/>
        <w:bidi w:val="0"/>
        <w:adjustRightInd/>
        <w:snapToGrid/>
        <w:spacing w:beforeLines="0" w:afterLines="0" w:line="540" w:lineRule="exact"/>
        <w:ind w:firstLine="640" w:firstLineChars="200"/>
        <w:jc w:val="left"/>
        <w:textAlignment w:val="auto"/>
        <w:rPr>
          <w:rFonts w:hint="eastAsia" w:ascii="仿宋_GB2312" w:hAnsi="宋体" w:eastAsia="仿宋_GB2312" w:cs="宋体"/>
          <w:color w:val="000000"/>
          <w:sz w:val="32"/>
          <w:szCs w:val="32"/>
        </w:rPr>
      </w:pPr>
      <w:r>
        <w:rPr>
          <w:rFonts w:hint="eastAsia" w:ascii="黑体" w:hAnsi="黑体" w:eastAsia="黑体" w:cs="方正仿宋_GB2312"/>
          <w:color w:val="000000"/>
          <w:sz w:val="32"/>
          <w:szCs w:val="32"/>
        </w:rPr>
        <w:t>一</w:t>
      </w:r>
      <w:r>
        <w:rPr>
          <w:rFonts w:hint="eastAsia" w:ascii="黑体" w:hAnsi="黑体" w:eastAsia="黑体" w:cs="宋体"/>
          <w:color w:val="000000"/>
          <w:sz w:val="32"/>
          <w:szCs w:val="32"/>
        </w:rPr>
        <w:t>、赛题来源</w:t>
      </w:r>
    </w:p>
    <w:p w14:paraId="296EE39E">
      <w:pPr>
        <w:keepNext w:val="0"/>
        <w:keepLines w:val="0"/>
        <w:pageBreakBefore w:val="0"/>
        <w:widowControl/>
        <w:kinsoku/>
        <w:wordWrap/>
        <w:overflowPunct/>
        <w:topLinePunct w:val="0"/>
        <w:autoSpaceDE/>
        <w:autoSpaceDN/>
        <w:bidi w:val="0"/>
        <w:adjustRightInd/>
        <w:snapToGrid/>
        <w:spacing w:beforeLines="0" w:afterLines="0" w:line="540" w:lineRule="exact"/>
        <w:ind w:firstLine="640" w:firstLineChars="200"/>
        <w:jc w:val="left"/>
        <w:textAlignment w:val="auto"/>
        <w:rPr>
          <w:rFonts w:hint="eastAsia" w:ascii="仿宋_GB2312" w:hAnsi="宋体" w:eastAsia="仿宋_GB2312" w:cs="宋体"/>
          <w:color w:val="000000"/>
          <w:sz w:val="32"/>
          <w:szCs w:val="32"/>
          <w:highlight w:val="none"/>
        </w:rPr>
      </w:pPr>
      <w:r>
        <w:rPr>
          <w:rFonts w:hint="eastAsia" w:ascii="仿宋_GB2312" w:hAnsi="宋体" w:eastAsia="仿宋_GB2312" w:cs="宋体"/>
          <w:color w:val="000000"/>
          <w:sz w:val="32"/>
          <w:szCs w:val="32"/>
          <w:highlight w:val="none"/>
        </w:rPr>
        <w:t>北京北燃实业集团有限公司</w:t>
      </w:r>
      <w:r>
        <w:rPr>
          <w:rFonts w:hint="eastAsia" w:ascii="仿宋_GB2312" w:hAnsi="宋体" w:eastAsia="仿宋_GB2312" w:cs="宋体"/>
          <w:color w:val="000000"/>
          <w:sz w:val="32"/>
          <w:szCs w:val="32"/>
          <w:highlight w:val="none"/>
          <w:lang w:val="en-US" w:eastAsia="zh-CN"/>
        </w:rPr>
        <w:t>下属企业</w:t>
      </w:r>
      <w:r>
        <w:rPr>
          <w:rFonts w:hint="eastAsia" w:ascii="仿宋_GB2312" w:hAnsi="仿宋_GB2312" w:eastAsia="仿宋_GB2312" w:cs="仿宋_GB2312"/>
          <w:sz w:val="28"/>
          <w:szCs w:val="28"/>
          <w:highlight w:val="none"/>
        </w:rPr>
        <w:t>北京市公用事业科学研究所有限公司</w:t>
      </w:r>
      <w:r>
        <w:rPr>
          <w:rFonts w:hint="eastAsia" w:ascii="仿宋_GB2312" w:hAnsi="宋体" w:eastAsia="仿宋_GB2312"/>
          <w:kern w:val="0"/>
          <w:sz w:val="32"/>
          <w:szCs w:val="24"/>
          <w:highlight w:val="none"/>
        </w:rPr>
        <w:t>（2项</w:t>
      </w:r>
      <w:r>
        <w:rPr>
          <w:rFonts w:hint="eastAsia" w:ascii="仿宋_GB2312" w:hAnsi="宋体" w:eastAsia="仿宋_GB2312" w:cs="宋体"/>
          <w:color w:val="000000"/>
          <w:sz w:val="32"/>
          <w:szCs w:val="32"/>
          <w:highlight w:val="none"/>
        </w:rPr>
        <w:t>）</w:t>
      </w:r>
    </w:p>
    <w:p w14:paraId="277ADA31">
      <w:pPr>
        <w:keepNext w:val="0"/>
        <w:keepLines w:val="0"/>
        <w:pageBreakBefore w:val="0"/>
        <w:widowControl/>
        <w:kinsoku/>
        <w:wordWrap/>
        <w:overflowPunct/>
        <w:topLinePunct w:val="0"/>
        <w:autoSpaceDE/>
        <w:autoSpaceDN/>
        <w:bidi w:val="0"/>
        <w:adjustRightInd/>
        <w:snapToGrid/>
        <w:spacing w:beforeLines="0" w:afterLines="0" w:line="540" w:lineRule="exact"/>
        <w:ind w:firstLine="640" w:firstLineChars="200"/>
        <w:jc w:val="left"/>
        <w:textAlignment w:val="auto"/>
        <w:rPr>
          <w:rFonts w:hint="eastAsia" w:ascii="仿宋_GB2312" w:hAnsi="宋体" w:eastAsia="仿宋_GB2312"/>
          <w:kern w:val="0"/>
          <w:sz w:val="32"/>
          <w:szCs w:val="24"/>
        </w:rPr>
      </w:pPr>
      <w:r>
        <w:rPr>
          <w:rFonts w:hint="eastAsia" w:ascii="仿宋_GB2312" w:hAnsi="宋体" w:eastAsia="仿宋_GB2312"/>
          <w:kern w:val="0"/>
          <w:sz w:val="32"/>
          <w:szCs w:val="24"/>
        </w:rPr>
        <w:t>北京华清荣昊新能源开发有限责任公司（1项）</w:t>
      </w:r>
    </w:p>
    <w:p w14:paraId="10ED3C83">
      <w:pPr>
        <w:keepNext w:val="0"/>
        <w:keepLines w:val="0"/>
        <w:pageBreakBefore w:val="0"/>
        <w:widowControl/>
        <w:kinsoku/>
        <w:wordWrap/>
        <w:overflowPunct/>
        <w:topLinePunct w:val="0"/>
        <w:autoSpaceDE/>
        <w:autoSpaceDN/>
        <w:bidi w:val="0"/>
        <w:adjustRightInd/>
        <w:snapToGrid/>
        <w:spacing w:beforeLines="0" w:afterLines="0" w:line="540" w:lineRule="exact"/>
        <w:ind w:firstLine="640" w:firstLineChars="200"/>
        <w:jc w:val="left"/>
        <w:textAlignment w:val="auto"/>
        <w:rPr>
          <w:rFonts w:hint="eastAsia" w:ascii="仿宋_GB2312" w:hAnsi="宋体" w:eastAsia="仿宋_GB2312"/>
          <w:kern w:val="0"/>
          <w:sz w:val="32"/>
          <w:szCs w:val="24"/>
          <w:lang w:eastAsia="zh-CN"/>
        </w:rPr>
      </w:pPr>
      <w:r>
        <w:rPr>
          <w:rFonts w:hint="eastAsia" w:ascii="仿宋_GB2312" w:hAnsi="宋体" w:eastAsia="仿宋_GB2312"/>
          <w:kern w:val="0"/>
          <w:sz w:val="32"/>
          <w:szCs w:val="24"/>
        </w:rPr>
        <w:t>北京象新力科技有限公司</w:t>
      </w:r>
      <w:r>
        <w:rPr>
          <w:rFonts w:hint="eastAsia" w:ascii="仿宋_GB2312" w:hAnsi="宋体" w:eastAsia="仿宋_GB2312"/>
          <w:kern w:val="0"/>
          <w:sz w:val="32"/>
          <w:szCs w:val="24"/>
          <w:lang w:eastAsia="zh-CN"/>
        </w:rPr>
        <w:t>（１</w:t>
      </w:r>
      <w:r>
        <w:rPr>
          <w:rFonts w:hint="eastAsia" w:ascii="仿宋_GB2312" w:hAnsi="宋体" w:eastAsia="仿宋_GB2312"/>
          <w:kern w:val="0"/>
          <w:sz w:val="32"/>
          <w:szCs w:val="24"/>
          <w:lang w:val="en-US" w:eastAsia="zh-CN"/>
        </w:rPr>
        <w:t>项</w:t>
      </w:r>
      <w:r>
        <w:rPr>
          <w:rFonts w:hint="eastAsia" w:ascii="仿宋_GB2312" w:hAnsi="宋体" w:eastAsia="仿宋_GB2312"/>
          <w:kern w:val="0"/>
          <w:sz w:val="32"/>
          <w:szCs w:val="24"/>
          <w:lang w:eastAsia="zh-CN"/>
        </w:rPr>
        <w:t>）</w:t>
      </w:r>
    </w:p>
    <w:p w14:paraId="7C71414F">
      <w:pPr>
        <w:keepNext w:val="0"/>
        <w:keepLines w:val="0"/>
        <w:pageBreakBefore w:val="0"/>
        <w:widowControl/>
        <w:kinsoku/>
        <w:wordWrap/>
        <w:overflowPunct/>
        <w:topLinePunct w:val="0"/>
        <w:autoSpaceDE/>
        <w:autoSpaceDN/>
        <w:bidi w:val="0"/>
        <w:adjustRightInd/>
        <w:snapToGrid/>
        <w:spacing w:beforeLines="0" w:afterLines="0" w:line="540" w:lineRule="exact"/>
        <w:ind w:firstLine="640" w:firstLineChars="200"/>
        <w:jc w:val="left"/>
        <w:textAlignment w:val="auto"/>
        <w:rPr>
          <w:rFonts w:hint="eastAsia" w:ascii="仿宋_GB2312" w:hAnsi="宋体" w:eastAsia="仿宋_GB2312" w:cs="宋体"/>
          <w:color w:val="000000"/>
          <w:sz w:val="32"/>
          <w:szCs w:val="32"/>
          <w:lang w:eastAsia="zh-CN"/>
        </w:rPr>
      </w:pPr>
      <w:r>
        <w:rPr>
          <w:rFonts w:hint="eastAsia" w:ascii="仿宋_GB2312" w:hAnsi="宋体" w:eastAsia="仿宋_GB2312" w:cs="宋体"/>
          <w:color w:val="000000"/>
          <w:sz w:val="32"/>
          <w:szCs w:val="32"/>
        </w:rPr>
        <w:t>北京市延庆区生态环境局和延庆区张山营镇</w:t>
      </w:r>
      <w:r>
        <w:rPr>
          <w:rFonts w:hint="eastAsia" w:ascii="仿宋_GB2312" w:hAnsi="宋体" w:eastAsia="仿宋_GB2312" w:cs="宋体"/>
          <w:color w:val="000000"/>
          <w:sz w:val="32"/>
          <w:szCs w:val="32"/>
          <w:lang w:eastAsia="zh-CN"/>
        </w:rPr>
        <w:t>（</w:t>
      </w:r>
      <w:r>
        <w:rPr>
          <w:rFonts w:hint="eastAsia" w:ascii="仿宋_GB2312" w:hAnsi="宋体" w:eastAsia="仿宋_GB2312" w:cs="宋体"/>
          <w:color w:val="000000"/>
          <w:sz w:val="32"/>
          <w:szCs w:val="32"/>
          <w:lang w:val="en-US" w:eastAsia="zh-CN"/>
        </w:rPr>
        <w:t>1项</w:t>
      </w:r>
      <w:r>
        <w:rPr>
          <w:rFonts w:hint="eastAsia" w:ascii="仿宋_GB2312" w:hAnsi="宋体" w:eastAsia="仿宋_GB2312" w:cs="宋体"/>
          <w:color w:val="000000"/>
          <w:sz w:val="32"/>
          <w:szCs w:val="32"/>
          <w:lang w:eastAsia="zh-CN"/>
        </w:rPr>
        <w:t>）</w:t>
      </w:r>
    </w:p>
    <w:p w14:paraId="41D29E17">
      <w:pPr>
        <w:keepNext w:val="0"/>
        <w:keepLines w:val="0"/>
        <w:pageBreakBefore w:val="0"/>
        <w:widowControl/>
        <w:kinsoku/>
        <w:wordWrap/>
        <w:overflowPunct/>
        <w:topLinePunct w:val="0"/>
        <w:autoSpaceDE/>
        <w:autoSpaceDN/>
        <w:bidi w:val="0"/>
        <w:adjustRightInd/>
        <w:snapToGrid/>
        <w:spacing w:beforeLines="0" w:afterLines="0" w:line="540" w:lineRule="exact"/>
        <w:ind w:firstLine="640" w:firstLineChars="200"/>
        <w:jc w:val="left"/>
        <w:textAlignment w:val="auto"/>
        <w:rPr>
          <w:rFonts w:hint="eastAsia" w:ascii="仿宋_GB2312" w:hAnsi="宋体" w:eastAsia="仿宋_GB2312" w:cs="宋体"/>
          <w:color w:val="000000"/>
          <w:sz w:val="32"/>
          <w:szCs w:val="32"/>
          <w:lang w:eastAsia="zh-CN"/>
        </w:rPr>
      </w:pPr>
      <w:r>
        <w:rPr>
          <w:rFonts w:hint="eastAsia" w:ascii="仿宋_GB2312" w:hAnsi="宋体" w:eastAsia="仿宋_GB2312" w:cs="宋体"/>
          <w:color w:val="000000"/>
          <w:sz w:val="32"/>
          <w:szCs w:val="32"/>
          <w:lang w:eastAsia="zh-CN"/>
        </w:rPr>
        <w:t>河南</w:t>
      </w:r>
      <w:r>
        <w:rPr>
          <w:rFonts w:hint="eastAsia" w:ascii="仿宋_GB2312" w:hAnsi="宋体" w:eastAsia="仿宋_GB2312" w:cs="宋体"/>
          <w:color w:val="000000"/>
          <w:sz w:val="32"/>
          <w:szCs w:val="32"/>
          <w:lang w:val="en-US" w:eastAsia="zh-CN"/>
        </w:rPr>
        <w:t>省</w:t>
      </w:r>
      <w:r>
        <w:rPr>
          <w:rFonts w:hint="eastAsia" w:ascii="仿宋_GB2312" w:hAnsi="宋体" w:eastAsia="仿宋_GB2312" w:cs="宋体"/>
          <w:color w:val="000000"/>
          <w:sz w:val="32"/>
          <w:szCs w:val="32"/>
          <w:lang w:eastAsia="zh-CN"/>
        </w:rPr>
        <w:t>兰考县坝头镇党委、镇政府（</w:t>
      </w:r>
      <w:r>
        <w:rPr>
          <w:rFonts w:hint="eastAsia" w:ascii="仿宋_GB2312" w:hAnsi="宋体" w:eastAsia="仿宋_GB2312" w:cs="宋体"/>
          <w:color w:val="000000"/>
          <w:sz w:val="32"/>
          <w:szCs w:val="32"/>
          <w:lang w:val="en-US" w:eastAsia="zh-CN"/>
        </w:rPr>
        <w:t>1项</w:t>
      </w:r>
      <w:r>
        <w:rPr>
          <w:rFonts w:hint="eastAsia" w:ascii="仿宋_GB2312" w:hAnsi="宋体" w:eastAsia="仿宋_GB2312" w:cs="宋体"/>
          <w:color w:val="000000"/>
          <w:sz w:val="32"/>
          <w:szCs w:val="32"/>
          <w:lang w:eastAsia="zh-CN"/>
        </w:rPr>
        <w:t>）</w:t>
      </w:r>
    </w:p>
    <w:p w14:paraId="1B3CB6E5">
      <w:pPr>
        <w:keepNext w:val="0"/>
        <w:keepLines w:val="0"/>
        <w:pageBreakBefore w:val="0"/>
        <w:widowControl/>
        <w:kinsoku/>
        <w:wordWrap/>
        <w:overflowPunct/>
        <w:topLinePunct w:val="0"/>
        <w:autoSpaceDE/>
        <w:autoSpaceDN/>
        <w:bidi w:val="0"/>
        <w:adjustRightInd/>
        <w:snapToGrid/>
        <w:spacing w:beforeLines="0" w:afterLines="0" w:line="540" w:lineRule="exact"/>
        <w:ind w:firstLine="640" w:firstLineChars="200"/>
        <w:jc w:val="left"/>
        <w:textAlignment w:val="auto"/>
        <w:rPr>
          <w:rFonts w:hint="eastAsia" w:ascii="仿宋_GB2312" w:hAnsi="宋体" w:eastAsia="仿宋_GB2312" w:cs="宋体"/>
          <w:color w:val="000000"/>
          <w:sz w:val="32"/>
          <w:szCs w:val="32"/>
          <w:lang w:eastAsia="zh-CN"/>
        </w:rPr>
      </w:pPr>
      <w:r>
        <w:rPr>
          <w:rFonts w:hint="eastAsia" w:ascii="仿宋_GB2312" w:hAnsi="宋体" w:eastAsia="仿宋_GB2312" w:cs="宋体"/>
          <w:color w:val="000000"/>
          <w:sz w:val="32"/>
          <w:szCs w:val="32"/>
          <w:lang w:eastAsia="zh-CN"/>
        </w:rPr>
        <w:t>河南</w:t>
      </w:r>
      <w:r>
        <w:rPr>
          <w:rFonts w:hint="eastAsia" w:ascii="仿宋_GB2312" w:hAnsi="宋体" w:eastAsia="仿宋_GB2312" w:cs="宋体"/>
          <w:color w:val="000000"/>
          <w:sz w:val="32"/>
          <w:szCs w:val="32"/>
          <w:lang w:val="en-US" w:eastAsia="zh-CN"/>
        </w:rPr>
        <w:t>省</w:t>
      </w:r>
      <w:r>
        <w:rPr>
          <w:rFonts w:hint="eastAsia" w:ascii="仿宋_GB2312" w:hAnsi="宋体" w:eastAsia="仿宋_GB2312" w:cs="宋体"/>
          <w:color w:val="000000"/>
          <w:sz w:val="32"/>
          <w:szCs w:val="32"/>
          <w:lang w:eastAsia="zh-CN"/>
        </w:rPr>
        <w:t>兰考县许河镇党委、镇政府（</w:t>
      </w:r>
      <w:r>
        <w:rPr>
          <w:rFonts w:hint="eastAsia" w:ascii="仿宋_GB2312" w:hAnsi="宋体" w:eastAsia="仿宋_GB2312" w:cs="宋体"/>
          <w:color w:val="000000"/>
          <w:sz w:val="32"/>
          <w:szCs w:val="32"/>
          <w:lang w:val="en-US" w:eastAsia="zh-CN"/>
        </w:rPr>
        <w:t>1项</w:t>
      </w:r>
      <w:r>
        <w:rPr>
          <w:rFonts w:hint="eastAsia" w:ascii="仿宋_GB2312" w:hAnsi="宋体" w:eastAsia="仿宋_GB2312" w:cs="宋体"/>
          <w:color w:val="000000"/>
          <w:sz w:val="32"/>
          <w:szCs w:val="32"/>
          <w:lang w:eastAsia="zh-CN"/>
        </w:rPr>
        <w:t>）</w:t>
      </w:r>
    </w:p>
    <w:p w14:paraId="0F172F30">
      <w:pPr>
        <w:keepNext w:val="0"/>
        <w:keepLines w:val="0"/>
        <w:pageBreakBefore w:val="0"/>
        <w:widowControl/>
        <w:kinsoku/>
        <w:wordWrap/>
        <w:overflowPunct/>
        <w:topLinePunct w:val="0"/>
        <w:autoSpaceDE/>
        <w:autoSpaceDN/>
        <w:bidi w:val="0"/>
        <w:adjustRightInd/>
        <w:snapToGrid/>
        <w:spacing w:beforeLines="0" w:afterLines="0" w:line="540" w:lineRule="exact"/>
        <w:ind w:firstLine="640" w:firstLineChars="200"/>
        <w:jc w:val="left"/>
        <w:textAlignment w:val="auto"/>
        <w:rPr>
          <w:rFonts w:hint="eastAsia" w:ascii="黑体" w:hAnsi="黑体" w:eastAsia="黑体" w:cs="宋体"/>
          <w:color w:val="000000"/>
          <w:sz w:val="32"/>
          <w:szCs w:val="32"/>
        </w:rPr>
      </w:pPr>
      <w:r>
        <w:rPr>
          <w:rFonts w:hint="eastAsia" w:ascii="黑体" w:hAnsi="黑体" w:eastAsia="黑体" w:cs="宋体"/>
          <w:color w:val="000000"/>
          <w:sz w:val="32"/>
          <w:szCs w:val="32"/>
        </w:rPr>
        <w:t>二、参赛规则</w:t>
      </w:r>
    </w:p>
    <w:p w14:paraId="1DD0D9EF">
      <w:pPr>
        <w:keepNext w:val="0"/>
        <w:keepLines w:val="0"/>
        <w:pageBreakBefore w:val="0"/>
        <w:widowControl/>
        <w:kinsoku/>
        <w:wordWrap/>
        <w:overflowPunct/>
        <w:topLinePunct w:val="0"/>
        <w:autoSpaceDE/>
        <w:autoSpaceDN/>
        <w:bidi w:val="0"/>
        <w:adjustRightInd/>
        <w:snapToGrid/>
        <w:spacing w:beforeLines="0" w:afterLines="0" w:line="540" w:lineRule="exact"/>
        <w:ind w:firstLine="640" w:firstLineChars="200"/>
        <w:jc w:val="left"/>
        <w:textAlignment w:val="auto"/>
        <w:rPr>
          <w:rFonts w:hint="eastAsia" w:ascii="仿宋_GB2312" w:hAnsi="方正仿宋_GB2312" w:eastAsia="仿宋_GB2312" w:cs="方正仿宋_GB2312"/>
          <w:color w:val="000000"/>
          <w:sz w:val="32"/>
          <w:szCs w:val="32"/>
        </w:rPr>
      </w:pPr>
      <w:r>
        <w:rPr>
          <w:rFonts w:hint="eastAsia" w:ascii="仿宋_GB2312" w:hAnsi="宋体" w:eastAsia="仿宋_GB2312" w:cs="宋体"/>
          <w:color w:val="000000"/>
          <w:sz w:val="32"/>
          <w:szCs w:val="32"/>
        </w:rPr>
        <w:t>在符合节能减排大赛赛制的前提下，企业命题项目和乡村振兴赛道项目</w:t>
      </w:r>
      <w:r>
        <w:rPr>
          <w:rFonts w:hint="eastAsia" w:ascii="仿宋_GB2312" w:hAnsi="方正仿宋_GB2312" w:eastAsia="仿宋_GB2312" w:cs="方正仿宋_GB2312"/>
          <w:color w:val="000000"/>
          <w:sz w:val="32"/>
          <w:szCs w:val="32"/>
        </w:rPr>
        <w:t>不占用主赛道参赛项目名额，</w:t>
      </w:r>
      <w:r>
        <w:rPr>
          <w:rFonts w:hint="eastAsia" w:ascii="仿宋_GB2312" w:hAnsi="宋体" w:eastAsia="仿宋_GB2312" w:cs="宋体"/>
          <w:color w:val="000000"/>
          <w:sz w:val="32"/>
          <w:szCs w:val="32"/>
        </w:rPr>
        <w:t>鼓励参赛团队根据实际情况选择企业和乡村振兴赛道项目。</w:t>
      </w:r>
    </w:p>
    <w:p w14:paraId="63EB720A">
      <w:pPr>
        <w:keepNext w:val="0"/>
        <w:keepLines w:val="0"/>
        <w:pageBreakBefore w:val="0"/>
        <w:widowControl/>
        <w:kinsoku/>
        <w:wordWrap/>
        <w:overflowPunct/>
        <w:topLinePunct w:val="0"/>
        <w:autoSpaceDE/>
        <w:autoSpaceDN/>
        <w:bidi w:val="0"/>
        <w:adjustRightInd/>
        <w:snapToGrid/>
        <w:spacing w:beforeLines="0" w:afterLines="0" w:line="540" w:lineRule="exact"/>
        <w:ind w:firstLine="640" w:firstLineChars="200"/>
        <w:jc w:val="left"/>
        <w:textAlignment w:val="auto"/>
        <w:rPr>
          <w:rFonts w:hint="eastAsia" w:ascii="黑体" w:hAnsi="黑体" w:eastAsia="黑体" w:cs="宋体"/>
          <w:color w:val="000000"/>
          <w:sz w:val="32"/>
          <w:szCs w:val="32"/>
        </w:rPr>
      </w:pPr>
      <w:r>
        <w:rPr>
          <w:rFonts w:hint="eastAsia" w:ascii="黑体" w:hAnsi="黑体" w:eastAsia="黑体" w:cs="宋体"/>
          <w:color w:val="000000"/>
          <w:sz w:val="32"/>
          <w:szCs w:val="32"/>
        </w:rPr>
        <w:t>三、评审规则</w:t>
      </w:r>
    </w:p>
    <w:p w14:paraId="5579E2C6">
      <w:pPr>
        <w:keepNext w:val="0"/>
        <w:keepLines w:val="0"/>
        <w:pageBreakBefore w:val="0"/>
        <w:widowControl/>
        <w:kinsoku/>
        <w:wordWrap/>
        <w:overflowPunct/>
        <w:topLinePunct w:val="0"/>
        <w:autoSpaceDE/>
        <w:autoSpaceDN/>
        <w:bidi w:val="0"/>
        <w:adjustRightInd/>
        <w:snapToGrid/>
        <w:spacing w:beforeLines="0" w:afterLines="0" w:line="540" w:lineRule="exact"/>
        <w:ind w:firstLine="640" w:firstLineChars="200"/>
        <w:jc w:val="left"/>
        <w:textAlignment w:val="auto"/>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企业和乡村振兴赛道项目采用单独评审方式。组委会将根据项目参与情况和完成情况，组建包括企业方和乡镇方参与的评审组对项目进行评审。此类项目评比奖项不占用主赛道的奖项名额。</w:t>
      </w:r>
    </w:p>
    <w:p w14:paraId="4702D023">
      <w:pPr>
        <w:pStyle w:val="4"/>
        <w:spacing w:beforeLines="0" w:afterLines="0"/>
        <w:rPr>
          <w:rFonts w:hint="eastAsia" w:ascii="仿宋_GB2312" w:hAnsi="仿宋_GB2312" w:eastAsia="仿宋_GB2312" w:cs="仿宋_GB2312"/>
          <w:sz w:val="28"/>
          <w:szCs w:val="28"/>
        </w:rPr>
      </w:pPr>
      <w:bookmarkStart w:id="0" w:name="OLE_LINK4"/>
      <w:bookmarkStart w:id="1" w:name="OLE_LINK3"/>
      <w:r>
        <w:rPr>
          <w:rFonts w:hint="eastAsia" w:ascii="仿宋_GB2312" w:hAnsi="仿宋_GB2312" w:eastAsia="仿宋_GB2312" w:cs="仿宋_GB2312"/>
          <w:sz w:val="28"/>
          <w:szCs w:val="28"/>
        </w:rPr>
        <w:t>命题</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w:t>
      </w:r>
    </w:p>
    <w:p w14:paraId="57564CF3">
      <w:pPr>
        <w:pStyle w:val="4"/>
        <w:spacing w:beforeLines="0" w:afterLines="0"/>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适用于高水位的直埋保温管补口材料及结构能源系统碳排放监测系统</w:t>
      </w:r>
    </w:p>
    <w:p w14:paraId="7FBFB47D">
      <w:pPr>
        <w:spacing w:beforeLines="0" w:afterLines="0"/>
        <w:rPr>
          <w:rFonts w:hint="eastAsia" w:ascii="仿宋_GB2312" w:hAnsi="仿宋_GB2312" w:eastAsia="仿宋_GB2312" w:cs="仿宋_GB2312"/>
          <w:sz w:val="28"/>
          <w:szCs w:val="28"/>
        </w:rPr>
      </w:pPr>
    </w:p>
    <w:tbl>
      <w:tblPr>
        <w:tblStyle w:val="8"/>
        <w:tblW w:w="89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0"/>
      </w:tblGrid>
      <w:tr w14:paraId="01685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8920" w:type="dxa"/>
            <w:tcBorders>
              <w:top w:val="single" w:color="auto" w:sz="4" w:space="0"/>
              <w:left w:val="single" w:color="auto" w:sz="4" w:space="0"/>
              <w:bottom w:val="single" w:color="auto" w:sz="4" w:space="0"/>
              <w:right w:val="single" w:color="auto" w:sz="4" w:space="0"/>
              <w:tl2br w:val="nil"/>
              <w:tr2bl w:val="nil"/>
            </w:tcBorders>
            <w:noWrap w:val="0"/>
            <w:vAlign w:val="top"/>
          </w:tcPr>
          <w:p w14:paraId="3B2D834C">
            <w:pPr>
              <w:pStyle w:val="4"/>
              <w:spacing w:beforeLines="0" w:afterLine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适用于高水位的直埋保温管补口材料及结构能源系统碳排放监测系统</w:t>
            </w:r>
          </w:p>
        </w:tc>
      </w:tr>
      <w:tr w14:paraId="7592F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920" w:type="dxa"/>
            <w:tcBorders>
              <w:top w:val="single" w:color="auto" w:sz="4" w:space="0"/>
              <w:left w:val="single" w:color="auto" w:sz="4" w:space="0"/>
              <w:bottom w:val="single" w:color="auto" w:sz="4" w:space="0"/>
              <w:right w:val="single" w:color="auto" w:sz="4" w:space="0"/>
              <w:tl2br w:val="nil"/>
              <w:tr2bl w:val="nil"/>
            </w:tcBorders>
            <w:noWrap w:val="0"/>
            <w:vAlign w:val="top"/>
          </w:tcPr>
          <w:p w14:paraId="6FD7E09E">
            <w:pPr>
              <w:pStyle w:val="7"/>
              <w:spacing w:beforeLines="0" w:afterLines="0" w:line="4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问题提出方：北京市公用事业科学研究所有限公司</w:t>
            </w:r>
          </w:p>
        </w:tc>
      </w:tr>
      <w:tr w14:paraId="62DC5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20" w:type="dxa"/>
            <w:tcBorders>
              <w:top w:val="single" w:color="auto" w:sz="4" w:space="0"/>
              <w:left w:val="single" w:color="auto" w:sz="4" w:space="0"/>
              <w:bottom w:val="single" w:color="auto" w:sz="4" w:space="0"/>
              <w:right w:val="single" w:color="auto" w:sz="4" w:space="0"/>
              <w:tl2br w:val="nil"/>
              <w:tr2bl w:val="nil"/>
            </w:tcBorders>
            <w:noWrap w:val="0"/>
            <w:vAlign w:val="top"/>
          </w:tcPr>
          <w:p w14:paraId="04606A77">
            <w:pPr>
              <w:keepNext w:val="0"/>
              <w:keepLines w:val="0"/>
              <w:pageBreakBefore w:val="0"/>
              <w:widowControl/>
              <w:kinsoku/>
              <w:wordWrap/>
              <w:overflowPunct/>
              <w:topLinePunct w:val="0"/>
              <w:autoSpaceDE/>
              <w:autoSpaceDN/>
              <w:bidi w:val="0"/>
              <w:adjustRightInd/>
              <w:snapToGrid/>
              <w:spacing w:beforeLines="0" w:afterLines="0" w:line="520" w:lineRule="exact"/>
              <w:textAlignment w:val="auto"/>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1.问题背景</w:t>
            </w:r>
          </w:p>
          <w:p w14:paraId="26282216">
            <w:pPr>
              <w:keepNext w:val="0"/>
              <w:keepLines w:val="0"/>
              <w:pageBreakBefore w:val="0"/>
              <w:widowControl/>
              <w:kinsoku/>
              <w:wordWrap/>
              <w:overflowPunct/>
              <w:topLinePunct w:val="0"/>
              <w:autoSpaceDE/>
              <w:autoSpaceDN/>
              <w:bidi w:val="0"/>
              <w:adjustRightInd/>
              <w:snapToGrid/>
              <w:spacing w:beforeLines="0" w:afterLines="0"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目前广泛应用的城镇供热直埋保温管道的保温结构，主要采用聚氨酯+PE形式，管道保温结构施工主要分成两步完成，第一步在工厂中批量化预制，工厂中采用喷涂缠绕、管中管法，完成聚氨酯发泡及外护管成型，形成每根12米，钢管+聚氨酯+PE外护管三为一体的城镇直埋保温管道；第二步在施工现场完成工作管焊接工作后，将两根工作管之间的工作管裸露部分进行保温补口，完成整个保温管道的保温结构工程。</w:t>
            </w:r>
          </w:p>
          <w:p w14:paraId="5306A9EF">
            <w:pPr>
              <w:keepNext w:val="0"/>
              <w:keepLines w:val="0"/>
              <w:pageBreakBefore w:val="0"/>
              <w:widowControl/>
              <w:kinsoku/>
              <w:wordWrap/>
              <w:overflowPunct/>
              <w:topLinePunct w:val="0"/>
              <w:autoSpaceDE/>
              <w:autoSpaceDN/>
              <w:bidi w:val="0"/>
              <w:adjustRightInd/>
              <w:snapToGrid/>
              <w:spacing w:beforeLines="0" w:afterLines="0" w:line="520" w:lineRule="exact"/>
              <w:ind w:firstLine="560" w:firstLineChars="200"/>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但是随着供热系统运行年限的增加，在一些高水位的区域，出现了大量的直埋保温管道保温结构严重碳化的现象，最终造成保温管道保温效果较差，大量的热量损失在输配过程中。经过实际工程勘察分析，造成类似现象的主要原因，是由于补口施工质量难以达到工厂化预制水平，从而导致长期处于高水位中的管道补口处先发生渗透，由于管道外壁面的高温环境，导致聚氨酯在高温水中发生水解、碳化现场。</w:t>
            </w:r>
          </w:p>
        </w:tc>
      </w:tr>
      <w:tr w14:paraId="5E98D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0" w:hRule="atLeast"/>
        </w:trPr>
        <w:tc>
          <w:tcPr>
            <w:tcW w:w="8920" w:type="dxa"/>
            <w:tcBorders>
              <w:top w:val="single" w:color="auto" w:sz="4" w:space="0"/>
              <w:left w:val="single" w:color="auto" w:sz="4" w:space="0"/>
              <w:bottom w:val="single" w:color="auto" w:sz="4" w:space="0"/>
              <w:right w:val="single" w:color="auto" w:sz="4" w:space="0"/>
              <w:tl2br w:val="nil"/>
              <w:tr2bl w:val="nil"/>
            </w:tcBorders>
            <w:noWrap w:val="0"/>
            <w:vAlign w:val="top"/>
          </w:tcPr>
          <w:p w14:paraId="0C32B4BE">
            <w:pPr>
              <w:pStyle w:val="10"/>
              <w:keepNext w:val="0"/>
              <w:keepLines w:val="0"/>
              <w:pageBreakBefore w:val="0"/>
              <w:widowControl/>
              <w:kinsoku/>
              <w:wordWrap/>
              <w:overflowPunct/>
              <w:topLinePunct w:val="0"/>
              <w:autoSpaceDE/>
              <w:autoSpaceDN/>
              <w:bidi w:val="0"/>
              <w:adjustRightInd/>
              <w:snapToGrid/>
              <w:spacing w:beforeLines="0" w:afterLines="0" w:line="520" w:lineRule="exact"/>
              <w:ind w:firstLine="0" w:firstLineChars="0"/>
              <w:textAlignment w:val="auto"/>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2.设计目标</w:t>
            </w:r>
          </w:p>
          <w:p w14:paraId="75E446E3">
            <w:pPr>
              <w:pStyle w:val="10"/>
              <w:keepNext w:val="0"/>
              <w:keepLines w:val="0"/>
              <w:pageBreakBefore w:val="0"/>
              <w:widowControl/>
              <w:kinsoku/>
              <w:wordWrap/>
              <w:overflowPunct/>
              <w:topLinePunct w:val="0"/>
              <w:autoSpaceDE/>
              <w:autoSpaceDN/>
              <w:bidi w:val="0"/>
              <w:adjustRightInd/>
              <w:snapToGrid/>
              <w:spacing w:beforeLines="0" w:afterLines="0" w:line="520" w:lineRule="exact"/>
              <w:ind w:firstLine="560"/>
              <w:textAlignment w:val="auto"/>
              <w:rPr>
                <w:rFonts w:hint="eastAsia" w:ascii="仿宋_GB2312" w:hAnsi="仿宋_GB2312" w:eastAsia="仿宋_GB2312" w:cs="仿宋_GB2312"/>
                <w:b/>
                <w:kern w:val="0"/>
                <w:sz w:val="28"/>
                <w:szCs w:val="28"/>
              </w:rPr>
            </w:pPr>
            <w:r>
              <w:rPr>
                <w:rFonts w:hint="eastAsia" w:ascii="仿宋_GB2312" w:hAnsi="仿宋_GB2312" w:eastAsia="仿宋_GB2312" w:cs="仿宋_GB2312"/>
                <w:sz w:val="28"/>
                <w:szCs w:val="28"/>
              </w:rPr>
              <w:t>研究一种适用于高水位环境的保温补口材料或者是一种更具有防水性能的保温结构（不完全依赖于外护管PE的密封），此材料或者结构，在高温环境下不应与聚氨酯、PE材料发生化学反应，同时此材料或结构在应用后应具有良好的保温性能，不应低于当前国家标准规定的数值。</w:t>
            </w:r>
          </w:p>
        </w:tc>
      </w:tr>
      <w:tr w14:paraId="31D74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920" w:type="dxa"/>
            <w:tcBorders>
              <w:top w:val="single" w:color="auto" w:sz="4" w:space="0"/>
              <w:left w:val="single" w:color="auto" w:sz="4" w:space="0"/>
              <w:bottom w:val="single" w:color="auto" w:sz="4" w:space="0"/>
              <w:right w:val="single" w:color="auto" w:sz="4" w:space="0"/>
              <w:tl2br w:val="nil"/>
              <w:tr2bl w:val="nil"/>
            </w:tcBorders>
            <w:noWrap w:val="0"/>
            <w:vAlign w:val="top"/>
          </w:tcPr>
          <w:p w14:paraId="0ECBDCC1">
            <w:pPr>
              <w:keepNext w:val="0"/>
              <w:keepLines w:val="0"/>
              <w:pageBreakBefore w:val="0"/>
              <w:widowControl/>
              <w:kinsoku/>
              <w:wordWrap/>
              <w:overflowPunct/>
              <w:topLinePunct w:val="0"/>
              <w:autoSpaceDE/>
              <w:autoSpaceDN/>
              <w:bidi w:val="0"/>
              <w:adjustRightInd/>
              <w:snapToGrid/>
              <w:spacing w:beforeLines="0" w:afterLines="0" w:line="520" w:lineRule="exact"/>
              <w:textAlignment w:val="auto"/>
              <w:rPr>
                <w:rFonts w:hint="eastAsia" w:ascii="仿宋_GB2312" w:hAnsi="仿宋_GB2312" w:eastAsia="仿宋_GB2312" w:cs="仿宋_GB2312"/>
                <w:b/>
                <w:kern w:val="0"/>
                <w:sz w:val="28"/>
                <w:szCs w:val="28"/>
                <w:lang w:val="en-US" w:eastAsia="zh-CN"/>
              </w:rPr>
            </w:pPr>
            <w:r>
              <w:rPr>
                <w:rFonts w:hint="eastAsia" w:ascii="仿宋_GB2312" w:hAnsi="仿宋_GB2312" w:eastAsia="仿宋_GB2312" w:cs="仿宋_GB2312"/>
                <w:b/>
                <w:sz w:val="28"/>
                <w:szCs w:val="28"/>
              </w:rPr>
              <w:t>咨询联系人：</w:t>
            </w:r>
            <w:r>
              <w:rPr>
                <w:rFonts w:hint="eastAsia" w:ascii="仿宋_GB2312" w:hAnsi="仿宋_GB2312" w:eastAsia="仿宋_GB2312" w:cs="仿宋_GB2312"/>
                <w:b/>
                <w:sz w:val="28"/>
                <w:szCs w:val="28"/>
                <w:lang w:val="en-US" w:eastAsia="zh-CN"/>
              </w:rPr>
              <w:t xml:space="preserve">甄浩然   </w:t>
            </w:r>
            <w:r>
              <w:rPr>
                <w:rFonts w:hint="eastAsia" w:ascii="仿宋_GB2312" w:hAnsi="仿宋_GB2312" w:eastAsia="仿宋_GB2312" w:cs="仿宋_GB2312"/>
                <w:b/>
                <w:sz w:val="28"/>
                <w:szCs w:val="28"/>
              </w:rPr>
              <w:t>联系电话：</w:t>
            </w:r>
            <w:r>
              <w:rPr>
                <w:rFonts w:hint="eastAsia" w:ascii="仿宋_GB2312" w:hAnsi="仿宋_GB2312" w:eastAsia="仿宋_GB2312" w:cs="仿宋_GB2312"/>
                <w:b/>
                <w:sz w:val="28"/>
                <w:szCs w:val="28"/>
                <w:lang w:val="en-US" w:eastAsia="zh-CN"/>
              </w:rPr>
              <w:t>17600974201</w:t>
            </w:r>
          </w:p>
        </w:tc>
      </w:tr>
    </w:tbl>
    <w:p w14:paraId="6C67DC12">
      <w:pPr>
        <w:rPr>
          <w:rFonts w:hint="eastAsia"/>
        </w:rPr>
      </w:pPr>
    </w:p>
    <w:p w14:paraId="06383727">
      <w:pPr>
        <w:pStyle w:val="4"/>
        <w:spacing w:beforeLines="0" w:afterLine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命题</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w:t>
      </w:r>
    </w:p>
    <w:p w14:paraId="17FB371B">
      <w:pPr>
        <w:pStyle w:val="4"/>
        <w:spacing w:beforeLines="0" w:afterLines="0"/>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基于大语言模型的供热工控系统数据自然语言检索和统计分析应用开发</w:t>
      </w:r>
    </w:p>
    <w:tbl>
      <w:tblPr>
        <w:tblStyle w:val="8"/>
        <w:tblW w:w="89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0"/>
      </w:tblGrid>
      <w:tr w14:paraId="49749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8920" w:type="dxa"/>
            <w:tcBorders>
              <w:top w:val="single" w:color="auto" w:sz="4" w:space="0"/>
              <w:left w:val="single" w:color="auto" w:sz="4" w:space="0"/>
              <w:bottom w:val="single" w:color="auto" w:sz="4" w:space="0"/>
              <w:right w:val="single" w:color="auto" w:sz="4" w:space="0"/>
              <w:tl2br w:val="nil"/>
              <w:tr2bl w:val="nil"/>
            </w:tcBorders>
            <w:noWrap w:val="0"/>
            <w:vAlign w:val="top"/>
          </w:tcPr>
          <w:p w14:paraId="7EBAECD7">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spacing w:val="-6"/>
                <w:sz w:val="28"/>
                <w:szCs w:val="28"/>
              </w:rPr>
              <w:t>基于大语言模型的供热工控系统数据自然语言检索和统计分析应用开</w:t>
            </w:r>
            <w:r>
              <w:rPr>
                <w:rFonts w:hint="eastAsia" w:ascii="仿宋_GB2312" w:hAnsi="仿宋_GB2312" w:eastAsia="仿宋_GB2312" w:cs="仿宋_GB2312"/>
                <w:b/>
                <w:sz w:val="28"/>
                <w:szCs w:val="28"/>
              </w:rPr>
              <w:t>发</w:t>
            </w:r>
          </w:p>
        </w:tc>
      </w:tr>
      <w:tr w14:paraId="2057A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920" w:type="dxa"/>
            <w:tcBorders>
              <w:top w:val="single" w:color="auto" w:sz="4" w:space="0"/>
              <w:left w:val="single" w:color="auto" w:sz="4" w:space="0"/>
              <w:bottom w:val="single" w:color="auto" w:sz="4" w:space="0"/>
              <w:right w:val="single" w:color="auto" w:sz="4" w:space="0"/>
              <w:tl2br w:val="nil"/>
              <w:tr2bl w:val="nil"/>
            </w:tcBorders>
            <w:noWrap w:val="0"/>
            <w:vAlign w:val="top"/>
          </w:tcPr>
          <w:p w14:paraId="09ED3D53">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问题提出方：北京市公用事业科学研究所有限公司</w:t>
            </w:r>
          </w:p>
        </w:tc>
      </w:tr>
      <w:tr w14:paraId="7B54F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8920" w:type="dxa"/>
            <w:tcBorders>
              <w:top w:val="single" w:color="auto" w:sz="4" w:space="0"/>
              <w:left w:val="single" w:color="auto" w:sz="4" w:space="0"/>
              <w:bottom w:val="single" w:color="auto" w:sz="4" w:space="0"/>
              <w:right w:val="single" w:color="auto" w:sz="4" w:space="0"/>
              <w:tl2br w:val="nil"/>
              <w:tr2bl w:val="nil"/>
            </w:tcBorders>
            <w:noWrap w:val="0"/>
            <w:vAlign w:val="top"/>
          </w:tcPr>
          <w:p w14:paraId="01909C2C">
            <w:pPr>
              <w:keepNext w:val="0"/>
              <w:keepLines w:val="0"/>
              <w:pageBreakBefore w:val="0"/>
              <w:widowControl/>
              <w:kinsoku/>
              <w:wordWrap/>
              <w:overflowPunct/>
              <w:topLinePunct w:val="0"/>
              <w:autoSpaceDE/>
              <w:autoSpaceDN/>
              <w:bidi w:val="0"/>
              <w:adjustRightInd/>
              <w:snapToGrid/>
              <w:spacing w:beforeLines="0" w:beforeAutospacing="0" w:afterLines="0" w:afterAutospacing="0" w:line="520" w:lineRule="exact"/>
              <w:textAlignment w:val="auto"/>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1.问题背景</w:t>
            </w:r>
          </w:p>
          <w:p w14:paraId="12D48B91">
            <w:pPr>
              <w:keepNext w:val="0"/>
              <w:keepLines w:val="0"/>
              <w:pageBreakBefore w:val="0"/>
              <w:widowControl/>
              <w:kinsoku/>
              <w:wordWrap/>
              <w:overflowPunct/>
              <w:topLinePunct w:val="0"/>
              <w:autoSpaceDE/>
              <w:autoSpaceDN/>
              <w:bidi w:val="0"/>
              <w:adjustRightInd/>
              <w:snapToGrid/>
              <w:spacing w:beforeLines="0" w:beforeAutospacing="0" w:afterLines="0" w:afterAutospacing="0"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热系统作为城市基础设施的重要组成部分，其智能化、高效化运行已成为提升居民生活质量、实现节能减排目标的关键。当前，供热工控系统积累了大量运行数据，这些数据蕴含着丰富的信息，对于优化供热策略、预测故障、提高能效至关重要。然而，传统数据检索和分析方法依赖于专业人员，操作复杂，难以快速响应实际需求。因此，开发一种能够利用自然语言进行高效数据检索和统计分析的工具，对于提升供热系统的智能化管理水平具有重要意义。</w:t>
            </w:r>
          </w:p>
          <w:p w14:paraId="31CB0C3B">
            <w:pPr>
              <w:keepNext w:val="0"/>
              <w:keepLines w:val="0"/>
              <w:pageBreakBefore w:val="0"/>
              <w:widowControl/>
              <w:kinsoku/>
              <w:wordWrap/>
              <w:overflowPunct/>
              <w:topLinePunct w:val="0"/>
              <w:autoSpaceDE/>
              <w:autoSpaceDN/>
              <w:bidi w:val="0"/>
              <w:adjustRightInd/>
              <w:snapToGrid/>
              <w:spacing w:beforeLines="0" w:beforeAutospacing="0" w:afterLines="0" w:afterAutospacing="0" w:line="520" w:lineRule="exact"/>
              <w:ind w:firstLine="560" w:firstLineChars="200"/>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随着国内外大语言模型技术的发展，越来越多的企业提供低代码集成开发工具来加速大语言模型应用的开发和数据分析。这些工具通过提供可视化的开发环境和简单的参数设置操作，极大地降低了开发门槛，为非软件开发大语言模型的专业应用提供了可能性。</w:t>
            </w:r>
          </w:p>
        </w:tc>
      </w:tr>
      <w:tr w14:paraId="08DFF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trPr>
        <w:tc>
          <w:tcPr>
            <w:tcW w:w="8920" w:type="dxa"/>
            <w:tcBorders>
              <w:top w:val="single" w:color="auto" w:sz="4" w:space="0"/>
              <w:left w:val="single" w:color="auto" w:sz="4" w:space="0"/>
              <w:bottom w:val="single" w:color="auto" w:sz="4" w:space="0"/>
              <w:right w:val="single" w:color="auto" w:sz="4" w:space="0"/>
              <w:tl2br w:val="nil"/>
              <w:tr2bl w:val="nil"/>
            </w:tcBorders>
            <w:noWrap w:val="0"/>
            <w:vAlign w:val="top"/>
          </w:tcPr>
          <w:p w14:paraId="4DF93F67">
            <w:pPr>
              <w:pStyle w:val="10"/>
              <w:keepNext w:val="0"/>
              <w:keepLines w:val="0"/>
              <w:pageBreakBefore w:val="0"/>
              <w:widowControl/>
              <w:kinsoku/>
              <w:wordWrap/>
              <w:overflowPunct/>
              <w:topLinePunct w:val="0"/>
              <w:autoSpaceDE/>
              <w:autoSpaceDN/>
              <w:bidi w:val="0"/>
              <w:adjustRightInd/>
              <w:snapToGrid/>
              <w:spacing w:beforeLines="0" w:beforeAutospacing="0" w:afterLines="0" w:afterAutospacing="0" w:line="520" w:lineRule="exact"/>
              <w:ind w:firstLine="0" w:firstLineChars="0"/>
              <w:textAlignment w:val="auto"/>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2.设计目标</w:t>
            </w:r>
          </w:p>
          <w:p w14:paraId="47190FF8">
            <w:pPr>
              <w:pStyle w:val="10"/>
              <w:keepNext w:val="0"/>
              <w:keepLines w:val="0"/>
              <w:pageBreakBefore w:val="0"/>
              <w:widowControl/>
              <w:kinsoku/>
              <w:wordWrap/>
              <w:overflowPunct/>
              <w:topLinePunct w:val="0"/>
              <w:autoSpaceDE/>
              <w:autoSpaceDN/>
              <w:bidi w:val="0"/>
              <w:adjustRightInd/>
              <w:snapToGrid/>
              <w:spacing w:beforeLines="0" w:beforeAutospacing="0" w:afterLines="0" w:afterAutospacing="0" w:line="520" w:lineRule="exact"/>
              <w:ind w:firstLine="56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研发基于大语言模型的自然语言检索引擎及集成开发工具：构建能够理解并解析供热领域专业术语和日常用语的大语言模型，使用户能够通过自然语言提问，快速检索到所需的工控系统数据。</w:t>
            </w:r>
          </w:p>
          <w:p w14:paraId="264617C9">
            <w:pPr>
              <w:pStyle w:val="10"/>
              <w:keepNext w:val="0"/>
              <w:keepLines w:val="0"/>
              <w:pageBreakBefore w:val="0"/>
              <w:widowControl/>
              <w:kinsoku/>
              <w:wordWrap/>
              <w:overflowPunct/>
              <w:topLinePunct w:val="0"/>
              <w:autoSpaceDE/>
              <w:autoSpaceDN/>
              <w:bidi w:val="0"/>
              <w:adjustRightInd/>
              <w:snapToGrid/>
              <w:spacing w:beforeLines="0" w:beforeAutospacing="0" w:afterLines="0" w:afterAutospacing="0" w:line="520" w:lineRule="exact"/>
              <w:ind w:firstLine="560"/>
              <w:textAlignment w:val="auto"/>
              <w:rPr>
                <w:rFonts w:hint="eastAsia" w:ascii="仿宋_GB2312" w:hAnsi="仿宋_GB2312" w:eastAsia="仿宋_GB2312" w:cs="仿宋_GB2312"/>
                <w:b/>
                <w:kern w:val="0"/>
                <w:sz w:val="28"/>
                <w:szCs w:val="28"/>
              </w:rPr>
            </w:pPr>
            <w:r>
              <w:rPr>
                <w:rFonts w:hint="eastAsia" w:ascii="仿宋_GB2312" w:hAnsi="仿宋_GB2312" w:eastAsia="仿宋_GB2312" w:cs="仿宋_GB2312"/>
                <w:sz w:val="28"/>
                <w:szCs w:val="28"/>
              </w:rPr>
              <w:t>实现数据统计分析自动化：集成数据分析算法，根据用户通过自然语言提出的查询需求，自动进行数据统计、趋势分析、异常检测等操作，依照专业人员要求生成直观的图表和限定结构的报告。</w:t>
            </w:r>
          </w:p>
        </w:tc>
      </w:tr>
      <w:tr w14:paraId="2EDB4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8920" w:type="dxa"/>
            <w:tcBorders>
              <w:top w:val="single" w:color="auto" w:sz="4" w:space="0"/>
              <w:left w:val="single" w:color="auto" w:sz="4" w:space="0"/>
              <w:bottom w:val="single" w:color="auto" w:sz="4" w:space="0"/>
              <w:right w:val="single" w:color="auto" w:sz="4" w:space="0"/>
              <w:tl2br w:val="nil"/>
              <w:tr2bl w:val="nil"/>
            </w:tcBorders>
            <w:noWrap w:val="0"/>
            <w:vAlign w:val="top"/>
          </w:tcPr>
          <w:p w14:paraId="3D52835B">
            <w:pPr>
              <w:keepNext w:val="0"/>
              <w:keepLines w:val="0"/>
              <w:pageBreakBefore w:val="0"/>
              <w:widowControl/>
              <w:kinsoku/>
              <w:wordWrap/>
              <w:overflowPunct/>
              <w:topLinePunct w:val="0"/>
              <w:autoSpaceDE/>
              <w:autoSpaceDN/>
              <w:bidi w:val="0"/>
              <w:adjustRightInd/>
              <w:snapToGrid/>
              <w:spacing w:beforeLines="0" w:beforeAutospacing="0" w:afterLines="0" w:afterAutospacing="0" w:line="520" w:lineRule="exact"/>
              <w:textAlignment w:val="auto"/>
              <w:rPr>
                <w:rFonts w:hint="eastAsia" w:ascii="仿宋_GB2312" w:hAnsi="仿宋_GB2312" w:eastAsia="仿宋_GB2312" w:cs="仿宋_GB2312"/>
                <w:b/>
                <w:kern w:val="0"/>
                <w:sz w:val="28"/>
                <w:szCs w:val="28"/>
              </w:rPr>
            </w:pPr>
            <w:r>
              <w:rPr>
                <w:rFonts w:hint="eastAsia" w:ascii="仿宋_GB2312" w:hAnsi="仿宋_GB2312" w:eastAsia="仿宋_GB2312" w:cs="仿宋_GB2312"/>
                <w:b/>
                <w:sz w:val="28"/>
                <w:szCs w:val="28"/>
              </w:rPr>
              <w:t>咨询联系人：朱禹洲</w:t>
            </w:r>
            <w:r>
              <w:rPr>
                <w:rFonts w:hint="eastAsia" w:ascii="仿宋_GB2312" w:hAnsi="仿宋_GB2312" w:eastAsia="仿宋_GB2312" w:cs="仿宋_GB2312"/>
                <w:b/>
                <w:sz w:val="28"/>
                <w:szCs w:val="28"/>
                <w:lang w:val="en-US" w:eastAsia="zh-CN"/>
              </w:rPr>
              <w:t xml:space="preserve">   </w:t>
            </w:r>
            <w:r>
              <w:rPr>
                <w:rFonts w:hint="eastAsia" w:ascii="仿宋_GB2312" w:hAnsi="仿宋_GB2312" w:eastAsia="仿宋_GB2312" w:cs="仿宋_GB2312"/>
                <w:b/>
                <w:sz w:val="28"/>
                <w:szCs w:val="28"/>
              </w:rPr>
              <w:t>联系电话：18600727680</w:t>
            </w:r>
          </w:p>
        </w:tc>
      </w:tr>
    </w:tbl>
    <w:p w14:paraId="756A3FC0">
      <w:pPr>
        <w:pStyle w:val="4"/>
        <w:spacing w:beforeLines="0" w:afterLine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命题</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w:t>
      </w:r>
    </w:p>
    <w:p w14:paraId="75561C09">
      <w:pPr>
        <w:pStyle w:val="4"/>
        <w:spacing w:beforeLines="0" w:afterLines="0"/>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区域综合能源系统综合评价分析</w:t>
      </w:r>
    </w:p>
    <w:tbl>
      <w:tblPr>
        <w:tblStyle w:val="8"/>
        <w:tblW w:w="89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0"/>
      </w:tblGrid>
      <w:tr w14:paraId="00EBA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8920" w:type="dxa"/>
            <w:tcBorders>
              <w:top w:val="single" w:color="auto" w:sz="4" w:space="0"/>
              <w:left w:val="single" w:color="auto" w:sz="4" w:space="0"/>
              <w:bottom w:val="single" w:color="auto" w:sz="4" w:space="0"/>
              <w:right w:val="single" w:color="auto" w:sz="4" w:space="0"/>
              <w:tl2br w:val="nil"/>
              <w:tr2bl w:val="nil"/>
            </w:tcBorders>
            <w:noWrap w:val="0"/>
            <w:vAlign w:val="top"/>
          </w:tcPr>
          <w:p w14:paraId="13C4B0A6">
            <w:pPr>
              <w:pStyle w:val="7"/>
              <w:spacing w:beforeLines="0" w:afterLines="0" w:line="4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区域综合能源系统综合评价分析</w:t>
            </w:r>
          </w:p>
        </w:tc>
      </w:tr>
      <w:tr w14:paraId="0B1B7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920" w:type="dxa"/>
            <w:tcBorders>
              <w:top w:val="single" w:color="auto" w:sz="4" w:space="0"/>
              <w:left w:val="single" w:color="auto" w:sz="4" w:space="0"/>
              <w:bottom w:val="single" w:color="auto" w:sz="4" w:space="0"/>
              <w:right w:val="single" w:color="auto" w:sz="4" w:space="0"/>
              <w:tl2br w:val="nil"/>
              <w:tr2bl w:val="nil"/>
            </w:tcBorders>
            <w:noWrap w:val="0"/>
            <w:vAlign w:val="top"/>
          </w:tcPr>
          <w:p w14:paraId="05213C2B">
            <w:pPr>
              <w:pStyle w:val="7"/>
              <w:spacing w:beforeLines="0" w:afterLines="0" w:line="4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问题提出方：北京华清荣昊新能源开发有限责任公司</w:t>
            </w:r>
          </w:p>
        </w:tc>
      </w:tr>
      <w:tr w14:paraId="4EBF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atLeast"/>
        </w:trPr>
        <w:tc>
          <w:tcPr>
            <w:tcW w:w="8920" w:type="dxa"/>
            <w:tcBorders>
              <w:top w:val="single" w:color="auto" w:sz="4" w:space="0"/>
              <w:left w:val="single" w:color="auto" w:sz="4" w:space="0"/>
              <w:bottom w:val="single" w:color="auto" w:sz="4" w:space="0"/>
              <w:right w:val="single" w:color="auto" w:sz="4" w:space="0"/>
              <w:tl2br w:val="nil"/>
              <w:tr2bl w:val="nil"/>
            </w:tcBorders>
            <w:noWrap w:val="0"/>
            <w:vAlign w:val="top"/>
          </w:tcPr>
          <w:p w14:paraId="7C7574A5">
            <w:pPr>
              <w:spacing w:beforeLines="0" w:afterLines="0" w:line="360" w:lineRule="auto"/>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1.问题背景</w:t>
            </w:r>
          </w:p>
          <w:p w14:paraId="7040CACA">
            <w:pPr>
              <w:spacing w:beforeLines="0" w:afterLines="0" w:line="360" w:lineRule="auto"/>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为助力“双碳”目标的实现，需要在能源供给环节加快推进多元化、清洁化和低碳化，在能源消费环节加快推进高效化、减量化和电气化，构建以电为中心、以清洁 能源为主导的现代能源体系，最终实现具有清洁低碳、安全可靠、泛在互联、高效互动、智能开放等特点的能源互联网。</w:t>
            </w:r>
          </w:p>
          <w:p w14:paraId="41A9B7D2">
            <w:pPr>
              <w:spacing w:beforeLines="0" w:afterLines="0" w:line="360" w:lineRule="auto"/>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区域综合能源系统具有广阔的应用前景和良好的商业价值，也是能源互联网的重要组成部分之一。与电力、热力、天然气等传统、单一的能源系统相比，综合能源系统能够促进电、气、冷、热等各类能源之间的相互转换，实现不同能源网络之间的互联互通，促进用户侧各类能源梯级利用，保障社会用能安全可靠，提高经济效益和环境效益。</w:t>
            </w:r>
          </w:p>
          <w:p w14:paraId="55F280AB">
            <w:pPr>
              <w:spacing w:beforeLines="0" w:afterLines="0" w:line="360" w:lineRule="auto"/>
              <w:ind w:firstLine="560" w:firstLineChars="200"/>
              <w:rPr>
                <w:rFonts w:hint="eastAsia" w:ascii="仿宋_GB2312" w:hAnsi="仿宋_GB2312" w:eastAsia="仿宋_GB2312" w:cs="仿宋_GB2312"/>
                <w:kern w:val="0"/>
                <w:sz w:val="28"/>
                <w:szCs w:val="28"/>
                <w:highlight w:val="yellow"/>
              </w:rPr>
            </w:pPr>
            <w:r>
              <w:rPr>
                <w:rFonts w:hint="eastAsia" w:ascii="仿宋_GB2312" w:hAnsi="仿宋_GB2312" w:eastAsia="仿宋_GB2312" w:cs="仿宋_GB2312"/>
                <w:kern w:val="0"/>
                <w:sz w:val="28"/>
                <w:szCs w:val="28"/>
              </w:rPr>
              <w:t>区域综合能源系统的综合评价分析，涉及多个维度指标，旨在全面评估系统的性能和效率，是一个复杂而重要的过程，它不仅有助于提高能源利用效率、促进可再生能源的开发利用，还对提高国家基础设施利用率和能源供应安全具有重要意义。通过科学的评价方法和全面的评价指标体系，可以有效地推动区域综合能源系统的优化和发展‌。</w:t>
            </w:r>
          </w:p>
        </w:tc>
      </w:tr>
      <w:tr w14:paraId="4C22C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9" w:hRule="atLeast"/>
        </w:trPr>
        <w:tc>
          <w:tcPr>
            <w:tcW w:w="8920" w:type="dxa"/>
            <w:tcBorders>
              <w:top w:val="single" w:color="auto" w:sz="4" w:space="0"/>
              <w:left w:val="single" w:color="auto" w:sz="4" w:space="0"/>
              <w:bottom w:val="single" w:color="auto" w:sz="4" w:space="0"/>
              <w:right w:val="single" w:color="auto" w:sz="4" w:space="0"/>
              <w:tl2br w:val="nil"/>
              <w:tr2bl w:val="nil"/>
            </w:tcBorders>
            <w:noWrap w:val="0"/>
            <w:vAlign w:val="top"/>
          </w:tcPr>
          <w:p w14:paraId="09A64183">
            <w:pPr>
              <w:pStyle w:val="10"/>
              <w:spacing w:beforeLines="0" w:afterLines="0" w:line="360" w:lineRule="auto"/>
              <w:ind w:firstLine="0" w:firstLineChars="0"/>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2.设计目标</w:t>
            </w:r>
          </w:p>
          <w:p w14:paraId="7D9AB48B">
            <w:pPr>
              <w:spacing w:beforeLines="0" w:afterLines="0" w:line="360" w:lineRule="auto"/>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针对区域综合能源系统，建立综合能源评价指标体系和评估模型，能够多维度、多指标、定量及定性，全面科学地对区域综合能源系统进行综合评价。并且应用该评价体系对典型区域综合能源系统项目案例（城市/小镇/商业园区/工业园区/大学校园/医院等）进行评价分析，以验证该评价指标体系和方法的有效性、可操作性。</w:t>
            </w:r>
          </w:p>
          <w:p w14:paraId="5C38437C">
            <w:pPr>
              <w:spacing w:beforeLines="0" w:afterLines="0" w:line="360" w:lineRule="auto"/>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备注：1、评价指标维度包含但不限于“能源效益、经济效益、及环境效益”等方面；2、评价指标能够反应对区域综合能源系统的整体评价及对各能源子系统、各分项的专业评价。</w:t>
            </w:r>
          </w:p>
        </w:tc>
      </w:tr>
      <w:tr w14:paraId="76A94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8920" w:type="dxa"/>
            <w:tcBorders>
              <w:top w:val="single" w:color="auto" w:sz="4" w:space="0"/>
              <w:left w:val="single" w:color="auto" w:sz="4" w:space="0"/>
              <w:bottom w:val="single" w:color="auto" w:sz="4" w:space="0"/>
              <w:right w:val="single" w:color="auto" w:sz="4" w:space="0"/>
              <w:tl2br w:val="nil"/>
              <w:tr2bl w:val="nil"/>
            </w:tcBorders>
            <w:noWrap w:val="0"/>
            <w:vAlign w:val="top"/>
          </w:tcPr>
          <w:p w14:paraId="7AAA26FC">
            <w:pPr>
              <w:spacing w:beforeLines="0" w:afterLines="0" w:line="360" w:lineRule="auto"/>
              <w:rPr>
                <w:rFonts w:hint="eastAsia" w:ascii="仿宋_GB2312" w:hAnsi="仿宋_GB2312" w:eastAsia="仿宋_GB2312" w:cs="仿宋_GB2312"/>
                <w:b/>
                <w:kern w:val="0"/>
                <w:sz w:val="28"/>
                <w:szCs w:val="28"/>
              </w:rPr>
            </w:pPr>
            <w:r>
              <w:rPr>
                <w:rFonts w:hint="eastAsia" w:ascii="仿宋_GB2312" w:hAnsi="仿宋_GB2312" w:eastAsia="仿宋_GB2312" w:cs="仿宋_GB2312"/>
                <w:b/>
                <w:sz w:val="28"/>
                <w:szCs w:val="28"/>
              </w:rPr>
              <w:t>咨询联系人：黄雪婷</w:t>
            </w:r>
            <w:r>
              <w:rPr>
                <w:rFonts w:hint="eastAsia" w:ascii="仿宋_GB2312" w:hAnsi="仿宋_GB2312" w:eastAsia="仿宋_GB2312" w:cs="仿宋_GB2312"/>
                <w:b/>
                <w:sz w:val="28"/>
                <w:szCs w:val="28"/>
                <w:lang w:val="en-US" w:eastAsia="zh-CN"/>
              </w:rPr>
              <w:t xml:space="preserve">   </w:t>
            </w:r>
            <w:r>
              <w:rPr>
                <w:rFonts w:hint="eastAsia" w:ascii="仿宋_GB2312" w:hAnsi="仿宋_GB2312" w:eastAsia="仿宋_GB2312" w:cs="仿宋_GB2312"/>
                <w:b/>
                <w:sz w:val="28"/>
                <w:szCs w:val="28"/>
              </w:rPr>
              <w:t>联系电话：18210089161</w:t>
            </w:r>
          </w:p>
        </w:tc>
      </w:tr>
    </w:tbl>
    <w:p w14:paraId="6ACCAFAA">
      <w:pPr>
        <w:spacing w:beforeLines="0" w:afterLines="0"/>
        <w:rPr>
          <w:rFonts w:hint="eastAsia" w:ascii="仿宋_GB2312" w:hAnsi="仿宋_GB2312" w:eastAsia="仿宋_GB2312" w:cs="仿宋_GB2312"/>
          <w:color w:val="000000"/>
          <w:sz w:val="28"/>
          <w:szCs w:val="28"/>
        </w:rPr>
      </w:pPr>
    </w:p>
    <w:p w14:paraId="3AF875C5">
      <w:pPr>
        <w:pStyle w:val="4"/>
        <w:rPr>
          <w:rFonts w:hint="eastAsia" w:ascii="仿宋_GB2312" w:eastAsia="仿宋_GB2312"/>
          <w:sz w:val="28"/>
          <w:szCs w:val="28"/>
        </w:rPr>
      </w:pPr>
    </w:p>
    <w:p w14:paraId="554D3B43">
      <w:pPr>
        <w:pStyle w:val="4"/>
        <w:rPr>
          <w:rFonts w:hint="eastAsia" w:ascii="仿宋_GB2312" w:eastAsia="仿宋_GB2312"/>
          <w:sz w:val="28"/>
          <w:szCs w:val="28"/>
        </w:rPr>
      </w:pPr>
    </w:p>
    <w:p w14:paraId="35B3FAE0">
      <w:pPr>
        <w:pStyle w:val="4"/>
        <w:rPr>
          <w:rFonts w:hint="eastAsia" w:ascii="仿宋_GB2312" w:eastAsia="仿宋_GB2312"/>
          <w:sz w:val="28"/>
          <w:szCs w:val="28"/>
        </w:rPr>
      </w:pPr>
    </w:p>
    <w:p w14:paraId="0503E881">
      <w:pPr>
        <w:pStyle w:val="4"/>
        <w:rPr>
          <w:rFonts w:hint="eastAsia" w:ascii="仿宋_GB2312" w:eastAsia="仿宋_GB2312"/>
          <w:sz w:val="28"/>
          <w:szCs w:val="28"/>
        </w:rPr>
      </w:pPr>
    </w:p>
    <w:p w14:paraId="4DC64564">
      <w:pPr>
        <w:pStyle w:val="4"/>
        <w:rPr>
          <w:rFonts w:hint="eastAsia" w:ascii="仿宋_GB2312" w:eastAsia="仿宋_GB2312"/>
          <w:sz w:val="28"/>
          <w:szCs w:val="28"/>
        </w:rPr>
      </w:pPr>
    </w:p>
    <w:p w14:paraId="368C95F8">
      <w:pPr>
        <w:pStyle w:val="4"/>
        <w:rPr>
          <w:rFonts w:hint="eastAsia" w:ascii="仿宋_GB2312" w:eastAsia="仿宋_GB2312"/>
          <w:sz w:val="28"/>
          <w:szCs w:val="28"/>
        </w:rPr>
      </w:pPr>
    </w:p>
    <w:p w14:paraId="4B9B5C0C">
      <w:pPr>
        <w:pStyle w:val="4"/>
        <w:rPr>
          <w:rFonts w:hint="eastAsia" w:ascii="仿宋_GB2312" w:eastAsia="仿宋_GB2312"/>
          <w:sz w:val="28"/>
          <w:szCs w:val="28"/>
        </w:rPr>
      </w:pPr>
    </w:p>
    <w:p w14:paraId="7C21A82D">
      <w:pPr>
        <w:pStyle w:val="4"/>
        <w:rPr>
          <w:rFonts w:hint="eastAsia" w:ascii="仿宋_GB2312" w:eastAsia="仿宋_GB2312"/>
          <w:sz w:val="28"/>
          <w:szCs w:val="28"/>
        </w:rPr>
      </w:pPr>
    </w:p>
    <w:p w14:paraId="00104B23">
      <w:pPr>
        <w:pStyle w:val="4"/>
        <w:rPr>
          <w:rFonts w:hint="eastAsia" w:ascii="仿宋_GB2312" w:eastAsia="仿宋_GB2312"/>
          <w:sz w:val="28"/>
          <w:szCs w:val="28"/>
        </w:rPr>
      </w:pPr>
    </w:p>
    <w:p w14:paraId="7FF044B2">
      <w:pPr>
        <w:pStyle w:val="4"/>
        <w:rPr>
          <w:rFonts w:hint="eastAsia" w:ascii="仿宋_GB2312" w:eastAsia="仿宋_GB2312"/>
          <w:sz w:val="28"/>
          <w:szCs w:val="28"/>
        </w:rPr>
      </w:pPr>
    </w:p>
    <w:p w14:paraId="7808F8A1">
      <w:pPr>
        <w:pStyle w:val="4"/>
        <w:rPr>
          <w:rFonts w:hint="eastAsia" w:ascii="仿宋_GB2312" w:eastAsia="仿宋_GB2312"/>
          <w:sz w:val="28"/>
          <w:szCs w:val="28"/>
        </w:rPr>
      </w:pPr>
    </w:p>
    <w:p w14:paraId="3934A500">
      <w:pPr>
        <w:pStyle w:val="4"/>
        <w:rPr>
          <w:rFonts w:hint="eastAsia" w:ascii="仿宋_GB2312" w:eastAsia="仿宋_GB2312"/>
          <w:sz w:val="28"/>
          <w:szCs w:val="28"/>
        </w:rPr>
      </w:pPr>
    </w:p>
    <w:p w14:paraId="2AC6B300">
      <w:pPr>
        <w:rPr>
          <w:rFonts w:hint="eastAsia" w:ascii="仿宋_GB2312" w:eastAsia="仿宋_GB2312"/>
          <w:sz w:val="28"/>
          <w:szCs w:val="28"/>
        </w:rPr>
      </w:pPr>
    </w:p>
    <w:p w14:paraId="0EF854BE">
      <w:pPr>
        <w:rPr>
          <w:rFonts w:hint="eastAsia" w:ascii="仿宋_GB2312" w:eastAsia="仿宋_GB2312"/>
          <w:sz w:val="28"/>
          <w:szCs w:val="28"/>
        </w:rPr>
      </w:pPr>
    </w:p>
    <w:p w14:paraId="575FC834">
      <w:pPr>
        <w:pStyle w:val="4"/>
        <w:rPr>
          <w:rFonts w:hint="eastAsia" w:ascii="仿宋_GB2312" w:eastAsia="仿宋_GB2312"/>
          <w:sz w:val="28"/>
          <w:szCs w:val="28"/>
        </w:rPr>
      </w:pPr>
    </w:p>
    <w:p w14:paraId="1C6A734C">
      <w:pPr>
        <w:pStyle w:val="4"/>
        <w:ind w:left="8379" w:leftChars="3990" w:firstLine="0" w:firstLineChars="0"/>
        <w:rPr>
          <w:rFonts w:hint="eastAsia" w:ascii="仿宋_GB2312" w:eastAsia="仿宋_GB2312"/>
          <w:sz w:val="28"/>
          <w:szCs w:val="28"/>
          <w:lang w:val="en-US" w:eastAsia="zh-CN"/>
        </w:rPr>
      </w:pPr>
      <w:r>
        <w:rPr>
          <w:rFonts w:hint="eastAsia" w:ascii="仿宋_GB2312" w:eastAsia="仿宋_GB2312"/>
          <w:sz w:val="28"/>
          <w:szCs w:val="28"/>
          <w:lang w:val="en-US" w:eastAsia="zh-CN"/>
        </w:rPr>
        <w:t xml:space="preserve">                                 </w:t>
      </w:r>
    </w:p>
    <w:p w14:paraId="221B1DFC">
      <w:pPr>
        <w:pStyle w:val="4"/>
        <w:ind w:left="8379" w:leftChars="3990" w:firstLine="0" w:firstLineChars="0"/>
        <w:rPr>
          <w:rFonts w:hint="eastAsia" w:ascii="仿宋_GB2312" w:eastAsia="仿宋_GB2312"/>
          <w:sz w:val="28"/>
          <w:szCs w:val="28"/>
          <w:lang w:val="en-US" w:eastAsia="zh-CN"/>
        </w:rPr>
      </w:pPr>
    </w:p>
    <w:p w14:paraId="2AAA31CC">
      <w:pPr>
        <w:pStyle w:val="4"/>
        <w:ind w:left="8379" w:leftChars="3990" w:firstLine="0" w:firstLineChars="0"/>
        <w:rPr>
          <w:rFonts w:hint="eastAsia" w:ascii="仿宋_GB2312" w:eastAsia="仿宋_GB2312"/>
          <w:sz w:val="28"/>
          <w:szCs w:val="28"/>
          <w:lang w:val="en-US" w:eastAsia="zh-CN"/>
        </w:rPr>
      </w:pPr>
    </w:p>
    <w:p w14:paraId="4433ADE0">
      <w:pPr>
        <w:pStyle w:val="4"/>
        <w:ind w:left="8379" w:leftChars="3990" w:firstLine="0" w:firstLineChars="0"/>
        <w:rPr>
          <w:rFonts w:hint="eastAsia" w:ascii="仿宋_GB2312" w:eastAsia="仿宋_GB2312"/>
          <w:sz w:val="28"/>
          <w:szCs w:val="28"/>
          <w:lang w:val="en-US" w:eastAsia="zh-CN"/>
        </w:rPr>
      </w:pPr>
    </w:p>
    <w:p w14:paraId="36A2ECA4">
      <w:pPr>
        <w:pStyle w:val="4"/>
        <w:ind w:left="8379" w:leftChars="3990" w:firstLine="0" w:firstLineChars="0"/>
        <w:rPr>
          <w:rFonts w:hint="eastAsia" w:ascii="仿宋_GB2312" w:eastAsia="仿宋_GB2312"/>
          <w:sz w:val="28"/>
          <w:szCs w:val="28"/>
          <w:lang w:val="en-US" w:eastAsia="zh-CN"/>
        </w:rPr>
      </w:pPr>
    </w:p>
    <w:p w14:paraId="7786F56F">
      <w:pPr>
        <w:rPr>
          <w:rFonts w:hint="eastAsia" w:ascii="仿宋_GB2312" w:eastAsia="仿宋_GB2312"/>
          <w:sz w:val="28"/>
          <w:szCs w:val="28"/>
          <w:lang w:val="en-US" w:eastAsia="zh-CN"/>
        </w:rPr>
      </w:pPr>
    </w:p>
    <w:p w14:paraId="29765F00">
      <w:pPr>
        <w:pStyle w:val="4"/>
        <w:rPr>
          <w:rFonts w:hint="eastAsia" w:ascii="仿宋_GB2312" w:eastAsia="仿宋_GB2312"/>
          <w:sz w:val="28"/>
          <w:szCs w:val="28"/>
        </w:rPr>
      </w:pPr>
    </w:p>
    <w:p w14:paraId="2B6D1701">
      <w:pPr>
        <w:rPr>
          <w:rFonts w:hint="eastAsia"/>
        </w:rPr>
      </w:pPr>
    </w:p>
    <w:p w14:paraId="02492B18">
      <w:pPr>
        <w:pStyle w:val="4"/>
        <w:rPr>
          <w:rFonts w:hint="eastAsia" w:ascii="仿宋_GB2312" w:eastAsia="仿宋_GB2312"/>
          <w:sz w:val="28"/>
          <w:szCs w:val="28"/>
        </w:rPr>
      </w:pPr>
      <w:r>
        <w:rPr>
          <w:rFonts w:hint="eastAsia" w:ascii="仿宋_GB2312" w:eastAsia="仿宋_GB2312"/>
          <w:sz w:val="28"/>
          <w:szCs w:val="28"/>
        </w:rPr>
        <w:t>命题</w:t>
      </w:r>
      <w:r>
        <w:rPr>
          <w:rFonts w:hint="eastAsia" w:ascii="仿宋_GB2312" w:eastAsia="仿宋_GB2312"/>
          <w:sz w:val="28"/>
          <w:szCs w:val="28"/>
          <w:lang w:val="en-US" w:eastAsia="zh-CN"/>
        </w:rPr>
        <w:t>4</w:t>
      </w:r>
      <w:r>
        <w:rPr>
          <w:rFonts w:hint="eastAsia" w:ascii="仿宋_GB2312" w:eastAsia="仿宋_GB2312"/>
          <w:sz w:val="28"/>
          <w:szCs w:val="28"/>
        </w:rPr>
        <w:t>：</w:t>
      </w:r>
    </w:p>
    <w:p w14:paraId="1E1975B8">
      <w:pPr>
        <w:pStyle w:val="4"/>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厨余垃圾的高效资源化处理技术方案</w:t>
      </w:r>
    </w:p>
    <w:tbl>
      <w:tblPr>
        <w:tblStyle w:val="8"/>
        <w:tblW w:w="9135"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35"/>
      </w:tblGrid>
      <w:tr w14:paraId="63E4C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9135" w:type="dxa"/>
            <w:shd w:val="clear" w:color="auto" w:fill="auto"/>
          </w:tcPr>
          <w:p w14:paraId="3D069A32">
            <w:pPr>
              <w:pStyle w:val="7"/>
              <w:widowControl/>
              <w:spacing w:line="440" w:lineRule="exact"/>
              <w:jc w:val="center"/>
              <w:rPr>
                <w:rFonts w:ascii="仿宋_GB2312" w:hAnsi="Times New Roman" w:eastAsia="仿宋_GB2312"/>
                <w:sz w:val="28"/>
                <w:szCs w:val="28"/>
              </w:rPr>
            </w:pPr>
            <w:r>
              <w:rPr>
                <w:rFonts w:hint="eastAsia" w:ascii="仿宋_GB2312" w:hAnsi="Times New Roman" w:eastAsia="仿宋_GB2312"/>
                <w:b/>
                <w:bCs/>
                <w:sz w:val="28"/>
                <w:szCs w:val="28"/>
              </w:rPr>
              <w:t>厨余垃圾的高效资源化处理技术方案</w:t>
            </w:r>
          </w:p>
        </w:tc>
      </w:tr>
      <w:tr w14:paraId="400B1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9135" w:type="dxa"/>
            <w:shd w:val="clear" w:color="auto" w:fill="auto"/>
          </w:tcPr>
          <w:p w14:paraId="548EB6D5">
            <w:pPr>
              <w:pStyle w:val="7"/>
              <w:widowControl/>
              <w:spacing w:line="440" w:lineRule="exact"/>
              <w:jc w:val="center"/>
              <w:rPr>
                <w:rFonts w:ascii="仿宋_GB2312" w:hAnsi="Times New Roman" w:eastAsia="仿宋_GB2312"/>
                <w:sz w:val="28"/>
                <w:szCs w:val="28"/>
              </w:rPr>
            </w:pPr>
            <w:r>
              <w:rPr>
                <w:rFonts w:hint="eastAsia" w:ascii="仿宋_GB2312" w:hAnsi="Times New Roman" w:eastAsia="仿宋_GB2312"/>
                <w:sz w:val="28"/>
                <w:szCs w:val="28"/>
              </w:rPr>
              <w:t>问题提出方：北京象新力科技有限公司</w:t>
            </w:r>
          </w:p>
        </w:tc>
      </w:tr>
      <w:tr w14:paraId="4D4C7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8" w:hRule="atLeast"/>
        </w:trPr>
        <w:tc>
          <w:tcPr>
            <w:tcW w:w="9135" w:type="dxa"/>
            <w:shd w:val="clear" w:color="auto" w:fill="auto"/>
          </w:tcPr>
          <w:p w14:paraId="6DD5CDF5">
            <w:pPr>
              <w:spacing w:line="360" w:lineRule="auto"/>
              <w:rPr>
                <w:rFonts w:ascii="仿宋_GB2312" w:hAnsi="Times New Roman" w:eastAsia="仿宋_GB2312"/>
                <w:b/>
                <w:kern w:val="0"/>
                <w:sz w:val="28"/>
                <w:szCs w:val="28"/>
              </w:rPr>
            </w:pPr>
            <w:r>
              <w:rPr>
                <w:rFonts w:hint="eastAsia" w:ascii="仿宋_GB2312" w:hAnsi="Times New Roman" w:eastAsia="仿宋_GB2312"/>
                <w:b/>
                <w:kern w:val="0"/>
                <w:sz w:val="28"/>
                <w:szCs w:val="28"/>
              </w:rPr>
              <w:t>1.问题背景</w:t>
            </w:r>
          </w:p>
          <w:p w14:paraId="3FB8D7A0">
            <w:pPr>
              <w:spacing w:line="360" w:lineRule="auto"/>
              <w:ind w:firstLine="560" w:firstLineChars="200"/>
              <w:rPr>
                <w:rFonts w:ascii="仿宋_GB2312" w:hAnsi="Times New Roman" w:eastAsia="仿宋_GB2312"/>
                <w:kern w:val="0"/>
                <w:sz w:val="28"/>
                <w:szCs w:val="28"/>
              </w:rPr>
            </w:pPr>
            <w:r>
              <w:rPr>
                <w:rFonts w:hint="eastAsia" w:ascii="仿宋_GB2312" w:eastAsia="仿宋_GB2312"/>
                <w:sz w:val="28"/>
                <w:szCs w:val="28"/>
              </w:rPr>
              <w:t>我国食品行业厨余垃圾处理面临严峻挑战，其高有机质含量、高含水率与复杂组分（含高盐高油物质）导致传统填埋和焚烧方式存在环境污染风险与处置成本压力，而主流资源化技术如厌氧发酵和好氧堆肥因处理周期长、产物附加值低、微生物适应性差等问题，难以满足日益严格的环保政策与产业化效益需求。当前技术瓶颈使厨余垃圾资源化陷入环境效益与经济效益难以兼顾的困局，亟待通过技术创新突破快速降解、低碳处理、经济可行等核心难点，实现减量化、无害化处理的同时，将厨余垃圾转化为可商业化的高附加值资源产品，构建环境友好、经济可持续的循环处理模式，为食品企业提供兼顾生态责任与降本增效的解决方案。</w:t>
            </w:r>
          </w:p>
        </w:tc>
      </w:tr>
      <w:tr w14:paraId="6D536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9" w:hRule="atLeast"/>
        </w:trPr>
        <w:tc>
          <w:tcPr>
            <w:tcW w:w="9135" w:type="dxa"/>
            <w:shd w:val="clear" w:color="auto" w:fill="auto"/>
          </w:tcPr>
          <w:p w14:paraId="67D61062">
            <w:pPr>
              <w:pStyle w:val="11"/>
              <w:spacing w:line="360" w:lineRule="auto"/>
              <w:rPr>
                <w:rFonts w:ascii="仿宋_GB2312" w:hAnsi="Times New Roman" w:eastAsia="仿宋_GB2312"/>
                <w:b/>
                <w:kern w:val="0"/>
                <w:sz w:val="28"/>
                <w:szCs w:val="28"/>
              </w:rPr>
            </w:pPr>
            <w:r>
              <w:rPr>
                <w:rFonts w:hint="eastAsia" w:ascii="仿宋_GB2312" w:hAnsi="Times New Roman" w:eastAsia="仿宋_GB2312"/>
                <w:b/>
                <w:kern w:val="0"/>
                <w:sz w:val="28"/>
                <w:szCs w:val="28"/>
              </w:rPr>
              <w:t>2.设计目标</w:t>
            </w:r>
          </w:p>
          <w:p w14:paraId="1BEEEE27">
            <w:pPr>
              <w:spacing w:line="360" w:lineRule="auto"/>
              <w:ind w:firstLine="560" w:firstLineChars="200"/>
              <w:rPr>
                <w:rFonts w:hint="eastAsia" w:ascii="仿宋_GB2312" w:hAnsi="Times New Roman" w:eastAsia="仿宋_GB2312"/>
                <w:kern w:val="0"/>
                <w:sz w:val="28"/>
                <w:szCs w:val="28"/>
                <w:lang w:eastAsia="zh-CN"/>
              </w:rPr>
            </w:pPr>
            <w:r>
              <w:rPr>
                <w:rFonts w:hint="eastAsia" w:ascii="仿宋_GB2312" w:eastAsia="仿宋_GB2312"/>
                <w:sz w:val="28"/>
                <w:szCs w:val="28"/>
              </w:rPr>
              <w:t>针对食品行业垃圾处理现状，设计一套面向食品行业厨余垃圾的高效资源化处理技术方案，聚焦突破现有技术瓶颈，通过优化快速降解路径与强化产物定向转化，实现垃圾减量化处理效率显著提升，同时以高附加值资源产物（如有机肥、昆虫蛋白等）开发为核心，提升资源化经济效益。技术方案需兼顾复杂组分（高盐高油）适应性，确保降解过程稳定高效，并通过低碳集约的工艺设计降低处理能耗与环境负荷</w:t>
            </w:r>
            <w:r>
              <w:rPr>
                <w:rFonts w:hint="eastAsia" w:ascii="仿宋_GB2312" w:eastAsia="仿宋_GB2312"/>
                <w:sz w:val="28"/>
                <w:szCs w:val="28"/>
                <w:lang w:eastAsia="zh-CN"/>
              </w:rPr>
              <w:t>。</w:t>
            </w:r>
          </w:p>
        </w:tc>
      </w:tr>
      <w:tr w14:paraId="7F5A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trPr>
        <w:tc>
          <w:tcPr>
            <w:tcW w:w="9135" w:type="dxa"/>
            <w:shd w:val="clear" w:color="auto" w:fill="auto"/>
          </w:tcPr>
          <w:p w14:paraId="1E5A0FF1">
            <w:pPr>
              <w:spacing w:line="360" w:lineRule="auto"/>
              <w:rPr>
                <w:rFonts w:ascii="仿宋_GB2312" w:hAnsi="Times New Roman" w:eastAsia="仿宋_GB2312"/>
                <w:bCs/>
                <w:sz w:val="28"/>
                <w:szCs w:val="28"/>
              </w:rPr>
            </w:pPr>
            <w:r>
              <w:rPr>
                <w:rFonts w:hint="eastAsia" w:ascii="仿宋_GB2312" w:hAnsi="Times New Roman" w:eastAsia="仿宋_GB2312"/>
                <w:bCs/>
                <w:sz w:val="28"/>
                <w:szCs w:val="28"/>
              </w:rPr>
              <w:t>咨询联系人：邹烁</w:t>
            </w:r>
          </w:p>
          <w:p w14:paraId="1C370793">
            <w:pPr>
              <w:spacing w:line="360" w:lineRule="auto"/>
              <w:rPr>
                <w:rFonts w:ascii="仿宋_GB2312" w:hAnsi="Times New Roman" w:eastAsia="仿宋_GB2312"/>
                <w:b/>
                <w:kern w:val="0"/>
                <w:sz w:val="28"/>
                <w:szCs w:val="28"/>
              </w:rPr>
            </w:pPr>
            <w:r>
              <w:rPr>
                <w:rFonts w:hint="eastAsia" w:ascii="仿宋_GB2312" w:hAnsi="Times New Roman" w:eastAsia="仿宋_GB2312"/>
                <w:bCs/>
                <w:sz w:val="28"/>
                <w:szCs w:val="28"/>
              </w:rPr>
              <w:t>联系电话：18086422039</w:t>
            </w:r>
          </w:p>
        </w:tc>
      </w:tr>
    </w:tbl>
    <w:p w14:paraId="25B0795D">
      <w:pPr>
        <w:spacing w:beforeLines="0" w:afterLines="0"/>
        <w:rPr>
          <w:rFonts w:hint="eastAsia" w:ascii="仿宋_GB2312" w:hAnsi="仿宋_GB2312" w:eastAsia="仿宋_GB2312" w:cs="仿宋_GB2312"/>
          <w:sz w:val="28"/>
          <w:szCs w:val="28"/>
        </w:rPr>
      </w:pPr>
    </w:p>
    <w:p w14:paraId="13D3867D">
      <w:pPr>
        <w:pStyle w:val="4"/>
        <w:spacing w:beforeLines="0" w:afterLines="0"/>
        <w:rPr>
          <w:rFonts w:hint="eastAsia" w:ascii="仿宋_GB2312" w:eastAsia="仿宋_GB2312"/>
          <w:sz w:val="28"/>
          <w:szCs w:val="24"/>
        </w:rPr>
      </w:pPr>
      <w:r>
        <w:rPr>
          <w:rFonts w:hint="eastAsia" w:ascii="仿宋_GB2312" w:eastAsia="仿宋_GB2312"/>
          <w:sz w:val="28"/>
          <w:szCs w:val="24"/>
        </w:rPr>
        <w:t>乡村振兴类</w:t>
      </w:r>
      <w:r>
        <w:rPr>
          <w:rFonts w:hint="eastAsia" w:ascii="仿宋_GB2312" w:eastAsia="仿宋_GB2312"/>
          <w:sz w:val="28"/>
          <w:szCs w:val="24"/>
          <w:lang w:val="en-US" w:eastAsia="zh-CN"/>
        </w:rPr>
        <w:t>项目</w:t>
      </w:r>
      <w:r>
        <w:rPr>
          <w:rFonts w:hint="eastAsia" w:ascii="仿宋_GB2312" w:eastAsia="仿宋_GB2312"/>
          <w:sz w:val="28"/>
          <w:szCs w:val="24"/>
        </w:rPr>
        <w:t>命题</w:t>
      </w:r>
      <w:r>
        <w:rPr>
          <w:rFonts w:hint="eastAsia" w:ascii="仿宋_GB2312" w:eastAsia="仿宋_GB2312"/>
          <w:sz w:val="28"/>
          <w:szCs w:val="24"/>
          <w:lang w:eastAsia="zh-CN"/>
        </w:rPr>
        <w:t>５</w:t>
      </w:r>
      <w:r>
        <w:rPr>
          <w:rFonts w:hint="eastAsia" w:ascii="仿宋_GB2312" w:eastAsia="仿宋_GB2312"/>
          <w:sz w:val="28"/>
          <w:szCs w:val="24"/>
        </w:rPr>
        <w:t>：</w:t>
      </w:r>
    </w:p>
    <w:p w14:paraId="35034BD3">
      <w:pPr>
        <w:pStyle w:val="4"/>
        <w:spacing w:beforeLines="0" w:afterLines="0"/>
        <w:ind w:firstLine="562" w:firstLineChars="200"/>
        <w:rPr>
          <w:rFonts w:hint="eastAsia" w:ascii="仿宋_GB2312" w:eastAsia="仿宋_GB2312"/>
          <w:sz w:val="28"/>
          <w:szCs w:val="24"/>
        </w:rPr>
      </w:pPr>
      <w:r>
        <w:rPr>
          <w:rFonts w:hint="eastAsia" w:ascii="仿宋_GB2312" w:hAnsi="微软雅黑" w:eastAsia="仿宋_GB2312" w:cs="微软雅黑"/>
          <w:sz w:val="28"/>
          <w:szCs w:val="28"/>
        </w:rPr>
        <w:t>后黑龙庙村“绿色</w:t>
      </w:r>
      <w:r>
        <w:rPr>
          <w:rFonts w:hint="eastAsia" w:ascii="仿宋_GB2312" w:hAnsi="宋体" w:eastAsia="仿宋_GB2312"/>
          <w:sz w:val="28"/>
          <w:szCs w:val="24"/>
        </w:rPr>
        <w:t>产业</w:t>
      </w:r>
      <w:r>
        <w:rPr>
          <w:rFonts w:hint="eastAsia" w:ascii="仿宋_GB2312" w:hAnsi="微软雅黑" w:eastAsia="仿宋_GB2312" w:cs="微软雅黑"/>
          <w:sz w:val="28"/>
          <w:szCs w:val="28"/>
        </w:rPr>
        <w:t>”</w:t>
      </w:r>
      <w:r>
        <w:rPr>
          <w:rFonts w:hint="eastAsia" w:ascii="仿宋_GB2312" w:hAnsi="宋体" w:eastAsia="仿宋_GB2312"/>
          <w:sz w:val="28"/>
          <w:szCs w:val="24"/>
        </w:rPr>
        <w:t>项目</w:t>
      </w:r>
      <w:r>
        <w:rPr>
          <w:rFonts w:hint="eastAsia" w:ascii="仿宋_GB2312" w:hAnsi="微软雅黑" w:eastAsia="仿宋_GB2312" w:cs="微软雅黑"/>
          <w:sz w:val="28"/>
          <w:szCs w:val="28"/>
        </w:rPr>
        <w:t>策划</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6"/>
      </w:tblGrid>
      <w:tr w14:paraId="419E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E75A56A">
            <w:pPr>
              <w:spacing w:beforeLines="0" w:afterLines="0" w:line="360" w:lineRule="auto"/>
              <w:jc w:val="center"/>
              <w:rPr>
                <w:rFonts w:hint="eastAsia" w:ascii="仿宋_GB2312" w:hAnsi="宋体" w:eastAsia="仿宋_GB2312"/>
                <w:b/>
                <w:sz w:val="28"/>
                <w:szCs w:val="24"/>
              </w:rPr>
            </w:pPr>
            <w:r>
              <w:rPr>
                <w:rFonts w:hint="eastAsia" w:ascii="仿宋_GB2312" w:hAnsi="微软雅黑" w:eastAsia="仿宋_GB2312" w:cs="微软雅黑"/>
                <w:b/>
                <w:sz w:val="28"/>
                <w:szCs w:val="28"/>
              </w:rPr>
              <w:t>后黑龙庙村“绿色产业”项目策划</w:t>
            </w:r>
          </w:p>
        </w:tc>
      </w:tr>
      <w:tr w14:paraId="084E9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84D2F75">
            <w:pPr>
              <w:pStyle w:val="7"/>
              <w:spacing w:beforeLines="0" w:afterLines="0" w:line="440" w:lineRule="exact"/>
              <w:jc w:val="center"/>
              <w:rPr>
                <w:rFonts w:hint="eastAsia" w:ascii="仿宋_GB2312" w:hAnsi="宋体" w:eastAsia="仿宋_GB2312"/>
                <w:sz w:val="28"/>
                <w:szCs w:val="24"/>
              </w:rPr>
            </w:pPr>
            <w:r>
              <w:rPr>
                <w:rFonts w:hint="eastAsia" w:ascii="仿宋_GB2312" w:hAnsi="宋体" w:eastAsia="仿宋_GB2312"/>
                <w:sz w:val="28"/>
                <w:szCs w:val="24"/>
              </w:rPr>
              <w:t>问题提出方：北京市延庆区生态环境局、延庆区张山营镇</w:t>
            </w:r>
          </w:p>
        </w:tc>
      </w:tr>
      <w:tr w14:paraId="4656B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5D8F84">
            <w:pPr>
              <w:pStyle w:val="11"/>
              <w:numPr>
                <w:ilvl w:val="0"/>
                <w:numId w:val="1"/>
              </w:numPr>
              <w:spacing w:beforeLines="0" w:afterLines="0" w:line="360" w:lineRule="auto"/>
              <w:rPr>
                <w:rFonts w:hint="eastAsia" w:ascii="仿宋_GB2312" w:hAnsi="Times New Roman" w:eastAsia="仿宋_GB2312"/>
                <w:b/>
                <w:sz w:val="28"/>
                <w:szCs w:val="24"/>
              </w:rPr>
            </w:pPr>
            <w:r>
              <w:rPr>
                <w:rFonts w:hint="eastAsia" w:ascii="仿宋_GB2312" w:hAnsi="Times New Roman" w:eastAsia="仿宋_GB2312"/>
                <w:b/>
                <w:sz w:val="28"/>
                <w:szCs w:val="24"/>
              </w:rPr>
              <w:t>问题背景</w:t>
            </w:r>
          </w:p>
          <w:p w14:paraId="63388E32">
            <w:pPr>
              <w:spacing w:beforeLines="0" w:afterLines="0" w:line="360" w:lineRule="auto"/>
              <w:ind w:firstLine="480"/>
              <w:jc w:val="left"/>
              <w:rPr>
                <w:rFonts w:hint="eastAsia" w:ascii="仿宋_GB2312" w:hAnsi="宋体" w:eastAsia="仿宋_GB2312"/>
                <w:sz w:val="28"/>
                <w:szCs w:val="24"/>
              </w:rPr>
            </w:pPr>
            <w:r>
              <w:rPr>
                <w:rFonts w:hint="eastAsia" w:ascii="仿宋_GB2312" w:hAnsi="宋体" w:eastAsia="仿宋_GB2312"/>
                <w:sz w:val="28"/>
                <w:szCs w:val="24"/>
              </w:rPr>
              <w:t>为深入推进应对气候变化工作，推动经济社会发展绿色低碳转型，北京市针对村级区域，通过落实先进理念、先进技术和管理模式、减少温室气体排放等气候友好行动，建设一批在减缓和适应气候变化规划设计、项目建设、运行管理、宣传推广等方面基础较好的示范村。</w:t>
            </w:r>
          </w:p>
          <w:p w14:paraId="767F10BA">
            <w:pPr>
              <w:spacing w:beforeLines="0" w:afterLines="0" w:line="360" w:lineRule="auto"/>
              <w:ind w:firstLine="480"/>
              <w:jc w:val="left"/>
              <w:rPr>
                <w:rFonts w:hint="eastAsia" w:ascii="仿宋_GB2312" w:hAnsi="宋体" w:eastAsia="仿宋_GB2312"/>
                <w:sz w:val="28"/>
                <w:szCs w:val="24"/>
              </w:rPr>
            </w:pPr>
            <w:r>
              <w:rPr>
                <w:rFonts w:hint="eastAsia" w:ascii="仿宋_GB2312" w:hAnsi="宋体" w:eastAsia="仿宋_GB2312"/>
                <w:sz w:val="28"/>
                <w:szCs w:val="24"/>
              </w:rPr>
              <w:t>延庆区张山营镇后黑龙庙村位于延庆区西北部，村域面积1.858平方公里，村内常住人口197户、417人。村内以生态农业和休闲旅游为抓手，致力于打造田园综合体的发展目标，以低碳绿色发展为理念，积极探索农文旅产业融合新路径，目前已形成“吃住行游购娱”全要素供给的全村域旅游模式。在现有的产业业态基础上，如何植入绿色发展理念，推动“绿色发展”与“乡村振兴”双向奔赴是亟需研究的课题。</w:t>
            </w:r>
          </w:p>
          <w:p w14:paraId="07B3E46C">
            <w:pPr>
              <w:spacing w:beforeLines="0" w:afterLines="0"/>
              <w:jc w:val="center"/>
              <w:rPr>
                <w:rFonts w:hint="eastAsia" w:ascii="仿宋_GB2312" w:hAnsi="黑体" w:eastAsia="仿宋_GB2312" w:cs="黑体"/>
                <w:sz w:val="28"/>
                <w:szCs w:val="28"/>
              </w:rPr>
            </w:pPr>
            <w:r>
              <w:rPr>
                <w:rFonts w:hint="default" w:ascii="仿宋_GB2312" w:hAnsi="黑体" w:eastAsia="仿宋_GB2312" w:cs="黑体"/>
                <w:sz w:val="28"/>
                <w:szCs w:val="28"/>
              </w:rPr>
              <w:drawing>
                <wp:inline distT="0" distB="0" distL="114300" distR="114300">
                  <wp:extent cx="3444240" cy="2440305"/>
                  <wp:effectExtent l="9525" t="9525" r="20955" b="19050"/>
                  <wp:docPr id="1" name="图片 2" descr="1706793307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706793307639"/>
                          <pic:cNvPicPr>
                            <a:picLocks noChangeAspect="1"/>
                          </pic:cNvPicPr>
                        </pic:nvPicPr>
                        <pic:blipFill>
                          <a:blip r:embed="rId5"/>
                          <a:srcRect t="24957" b="15903"/>
                          <a:stretch>
                            <a:fillRect/>
                          </a:stretch>
                        </pic:blipFill>
                        <pic:spPr>
                          <a:xfrm>
                            <a:off x="0" y="0"/>
                            <a:ext cx="3444240" cy="2440305"/>
                          </a:xfrm>
                          <a:prstGeom prst="rect">
                            <a:avLst/>
                          </a:prstGeom>
                          <a:noFill/>
                          <a:ln w="3175" cap="flat" cmpd="sng">
                            <a:solidFill>
                              <a:srgbClr val="000000"/>
                            </a:solidFill>
                            <a:prstDash val="solid"/>
                            <a:miter/>
                            <a:headEnd type="none" w="med" len="med"/>
                            <a:tailEnd type="none" w="med" len="med"/>
                          </a:ln>
                        </pic:spPr>
                      </pic:pic>
                    </a:graphicData>
                  </a:graphic>
                </wp:inline>
              </w:drawing>
            </w:r>
          </w:p>
          <w:p w14:paraId="1CA67DED">
            <w:pPr>
              <w:pStyle w:val="5"/>
              <w:spacing w:beforeLines="0" w:afterLines="0"/>
              <w:jc w:val="center"/>
              <w:rPr>
                <w:rFonts w:hint="eastAsia"/>
                <w:sz w:val="21"/>
                <w:szCs w:val="21"/>
              </w:rPr>
            </w:pPr>
            <w:r>
              <w:rPr>
                <w:rFonts w:hint="eastAsia" w:ascii="仿宋_GB2312" w:hAnsi="黑体" w:eastAsia="仿宋_GB2312" w:cs="黑体"/>
                <w:sz w:val="28"/>
                <w:szCs w:val="28"/>
              </w:rPr>
              <w:t>图一：后黑龙庙村地形图（部分）</w:t>
            </w:r>
          </w:p>
          <w:p w14:paraId="19DD2B98">
            <w:pPr>
              <w:pStyle w:val="6"/>
              <w:spacing w:beforeLines="0" w:afterLines="0"/>
              <w:jc w:val="center"/>
              <w:rPr>
                <w:rFonts w:hint="eastAsia"/>
                <w:sz w:val="20"/>
                <w:szCs w:val="24"/>
              </w:rPr>
            </w:pPr>
            <w:r>
              <w:rPr>
                <w:rFonts w:hint="default" w:eastAsia="仿宋_GB2312"/>
                <w:sz w:val="20"/>
                <w:szCs w:val="24"/>
              </w:rPr>
              <w:drawing>
                <wp:inline distT="0" distB="0" distL="114300" distR="114300">
                  <wp:extent cx="4160520" cy="4992370"/>
                  <wp:effectExtent l="0" t="0" r="0" b="6350"/>
                  <wp:docPr id="2" name="图片 1" descr="944c0f2db9269934c81b35ac7d297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944c0f2db9269934c81b35ac7d297c8"/>
                          <pic:cNvPicPr>
                            <a:picLocks noChangeAspect="1"/>
                          </pic:cNvPicPr>
                        </pic:nvPicPr>
                        <pic:blipFill>
                          <a:blip r:embed="rId6"/>
                          <a:stretch>
                            <a:fillRect/>
                          </a:stretch>
                        </pic:blipFill>
                        <pic:spPr>
                          <a:xfrm>
                            <a:off x="0" y="0"/>
                            <a:ext cx="4160520" cy="4992370"/>
                          </a:xfrm>
                          <a:prstGeom prst="rect">
                            <a:avLst/>
                          </a:prstGeom>
                          <a:noFill/>
                          <a:ln>
                            <a:noFill/>
                          </a:ln>
                        </pic:spPr>
                      </pic:pic>
                    </a:graphicData>
                  </a:graphic>
                </wp:inline>
              </w:drawing>
            </w:r>
          </w:p>
          <w:p w14:paraId="232A85A9">
            <w:pPr>
              <w:spacing w:beforeLines="0" w:afterLines="0"/>
              <w:jc w:val="center"/>
              <w:rPr>
                <w:rFonts w:hint="default"/>
                <w:sz w:val="21"/>
                <w:szCs w:val="24"/>
              </w:rPr>
            </w:pPr>
            <w:r>
              <w:rPr>
                <w:rFonts w:hint="eastAsia" w:ascii="仿宋_GB2312" w:hAnsi="黑体" w:eastAsia="仿宋_GB2312" w:cs="黑体"/>
                <w:sz w:val="28"/>
                <w:szCs w:val="28"/>
              </w:rPr>
              <w:t>图二：后黑龙庙村产业导览图</w:t>
            </w:r>
          </w:p>
        </w:tc>
      </w:tr>
      <w:tr w14:paraId="373A3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1BA9702">
            <w:pPr>
              <w:pStyle w:val="11"/>
              <w:numPr>
                <w:ilvl w:val="0"/>
                <w:numId w:val="1"/>
              </w:numPr>
              <w:spacing w:beforeLines="0" w:afterLines="0" w:line="360" w:lineRule="auto"/>
              <w:rPr>
                <w:rFonts w:hint="eastAsia" w:ascii="仿宋_GB2312" w:hAnsi="Times New Roman" w:eastAsia="仿宋_GB2312"/>
                <w:b/>
                <w:sz w:val="28"/>
                <w:szCs w:val="24"/>
              </w:rPr>
            </w:pPr>
            <w:r>
              <w:rPr>
                <w:rFonts w:hint="eastAsia" w:ascii="仿宋_GB2312" w:hAnsi="Times New Roman" w:eastAsia="仿宋_GB2312"/>
                <w:b/>
                <w:sz w:val="28"/>
                <w:szCs w:val="24"/>
              </w:rPr>
              <w:t>设计要求</w:t>
            </w:r>
          </w:p>
          <w:p w14:paraId="2F46737E">
            <w:pPr>
              <w:spacing w:beforeLines="0" w:afterLines="0" w:line="360" w:lineRule="auto"/>
              <w:ind w:firstLine="532" w:firstLineChars="190"/>
              <w:jc w:val="left"/>
              <w:rPr>
                <w:rFonts w:hint="eastAsia" w:ascii="仿宋_GB2312" w:hAnsi="宋体" w:eastAsia="仿宋_GB2312"/>
                <w:sz w:val="28"/>
                <w:szCs w:val="24"/>
              </w:rPr>
            </w:pPr>
            <w:r>
              <w:rPr>
                <w:rFonts w:hint="eastAsia" w:ascii="仿宋_GB2312" w:hAnsi="宋体" w:eastAsia="仿宋_GB2312"/>
                <w:sz w:val="28"/>
                <w:szCs w:val="24"/>
              </w:rPr>
              <w:t>结合后黑龙庙村产业发展现状和低碳乡村建设需求，在深入分析镇、村三级产业发展规划的基础上，充分挖掘所在地特色山水林田湖草自然资源和历史、文化、乡贤等人文资源，提出“绿色产业项目”的规划与设计方案。</w:t>
            </w:r>
          </w:p>
          <w:p w14:paraId="52B2E11B">
            <w:pPr>
              <w:spacing w:beforeLines="0" w:afterLines="0" w:line="360" w:lineRule="auto"/>
              <w:ind w:firstLine="532" w:firstLineChars="190"/>
              <w:rPr>
                <w:rFonts w:hint="eastAsia" w:ascii="仿宋_GB2312" w:hAnsi="宋体" w:eastAsia="仿宋_GB2312"/>
                <w:sz w:val="28"/>
                <w:szCs w:val="24"/>
              </w:rPr>
            </w:pPr>
            <w:r>
              <w:rPr>
                <w:rFonts w:hint="eastAsia" w:ascii="仿宋_GB2312" w:hAnsi="宋体" w:eastAsia="仿宋_GB2312"/>
                <w:sz w:val="28"/>
                <w:szCs w:val="24"/>
              </w:rPr>
              <w:t>“绿色产业项目”</w:t>
            </w:r>
            <w:r>
              <w:rPr>
                <w:rFonts w:hint="eastAsia" w:ascii="仿宋_GB2312" w:eastAsia="仿宋_GB2312"/>
                <w:sz w:val="28"/>
                <w:szCs w:val="24"/>
              </w:rPr>
              <w:t>的方案可以在宏观层面提出村级“农、文、旅、体、商、康”产业发展规划，也可以在微观层面聚集低碳研学科普活动策划、</w:t>
            </w:r>
            <w:r>
              <w:rPr>
                <w:rFonts w:hint="eastAsia" w:ascii="仿宋_GB2312" w:eastAsia="仿宋_GB2312"/>
                <w:sz w:val="28"/>
                <w:szCs w:val="24"/>
                <w:lang w:val="en-US" w:eastAsia="zh-CN"/>
              </w:rPr>
              <w:t>GEP核算和应用方向、</w:t>
            </w:r>
            <w:r>
              <w:rPr>
                <w:rFonts w:hint="eastAsia" w:ascii="仿宋_GB2312" w:eastAsia="仿宋_GB2312"/>
                <w:sz w:val="28"/>
                <w:szCs w:val="24"/>
              </w:rPr>
              <w:t>村史馆展陈更新设计、</w:t>
            </w:r>
            <w:r>
              <w:rPr>
                <w:rFonts w:hint="eastAsia" w:ascii="仿宋_GB2312" w:hAnsi="宋体" w:eastAsia="仿宋_GB2312"/>
                <w:sz w:val="28"/>
                <w:szCs w:val="24"/>
              </w:rPr>
              <w:t>村内环境改造提升、景观小品设计、文创周边品宣等小切口，植入“低碳”理念，落实“双碳”目标。</w:t>
            </w:r>
            <w:r>
              <w:rPr>
                <w:rFonts w:hint="eastAsia" w:ascii="仿宋_GB2312" w:eastAsia="仿宋_GB2312"/>
                <w:sz w:val="28"/>
                <w:szCs w:val="24"/>
              </w:rPr>
              <w:t>建议多学科团队参加竞赛,由环境类、建筑类、艺术类等多个专业领域的学生组成。</w:t>
            </w:r>
          </w:p>
          <w:p w14:paraId="4975F817">
            <w:pPr>
              <w:spacing w:beforeLines="0" w:afterLines="0" w:line="360" w:lineRule="auto"/>
              <w:ind w:firstLine="532" w:firstLineChars="190"/>
              <w:rPr>
                <w:rFonts w:hint="eastAsia" w:ascii="仿宋_GB2312" w:hAnsi="宋体" w:eastAsia="仿宋_GB2312"/>
                <w:sz w:val="28"/>
                <w:szCs w:val="24"/>
              </w:rPr>
            </w:pPr>
            <w:r>
              <w:rPr>
                <w:rFonts w:hint="eastAsia" w:ascii="仿宋_GB2312" w:eastAsia="仿宋_GB2312"/>
                <w:sz w:val="28"/>
                <w:szCs w:val="24"/>
              </w:rPr>
              <w:t>设计方案需要包含调查研究报告、技术研究报告、系统规划设计图和预期目标。</w:t>
            </w:r>
          </w:p>
        </w:tc>
      </w:tr>
      <w:tr w14:paraId="13BC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38EBC61">
            <w:pPr>
              <w:spacing w:beforeLines="0" w:afterLines="0" w:line="360" w:lineRule="auto"/>
              <w:jc w:val="center"/>
              <w:rPr>
                <w:rFonts w:hint="eastAsia" w:ascii="仿宋_GB2312" w:hAnsi="宋体" w:eastAsia="仿宋_GB2312"/>
                <w:sz w:val="28"/>
                <w:szCs w:val="24"/>
              </w:rPr>
            </w:pPr>
            <w:r>
              <w:rPr>
                <w:rFonts w:hint="eastAsia" w:ascii="仿宋_GB2312" w:hAnsi="宋体" w:eastAsia="仿宋_GB2312"/>
                <w:sz w:val="28"/>
                <w:szCs w:val="24"/>
              </w:rPr>
              <w:t>联系人： 李辉                      联系电话：18810643587</w:t>
            </w:r>
          </w:p>
        </w:tc>
      </w:tr>
    </w:tbl>
    <w:p w14:paraId="3B62366D">
      <w:pPr>
        <w:adjustRightInd w:val="0"/>
        <w:snapToGrid w:val="0"/>
        <w:spacing w:beforeLines="0" w:afterLines="0" w:line="600" w:lineRule="exact"/>
        <w:rPr>
          <w:rFonts w:hint="eastAsia" w:ascii="黑体" w:hAnsi="黑体" w:eastAsia="黑体" w:cs="Adobe 仿宋 Std R"/>
          <w:sz w:val="32"/>
          <w:szCs w:val="32"/>
        </w:rPr>
      </w:pPr>
    </w:p>
    <w:p w14:paraId="259C0FD4">
      <w:pPr>
        <w:pStyle w:val="2"/>
        <w:rPr>
          <w:rFonts w:hint="eastAsia" w:ascii="黑体" w:hAnsi="黑体" w:eastAsia="黑体" w:cs="Adobe 仿宋 Std R"/>
          <w:sz w:val="32"/>
          <w:szCs w:val="32"/>
        </w:rPr>
      </w:pPr>
    </w:p>
    <w:p w14:paraId="0181B7C4">
      <w:pPr>
        <w:pStyle w:val="3"/>
        <w:rPr>
          <w:rFonts w:hint="eastAsia" w:ascii="黑体" w:hAnsi="黑体" w:eastAsia="黑体" w:cs="Adobe 仿宋 Std R"/>
          <w:sz w:val="32"/>
          <w:szCs w:val="32"/>
        </w:rPr>
      </w:pPr>
    </w:p>
    <w:p w14:paraId="17335644">
      <w:pPr>
        <w:pStyle w:val="3"/>
        <w:rPr>
          <w:rFonts w:hint="eastAsia" w:ascii="黑体" w:hAnsi="黑体" w:eastAsia="黑体" w:cs="Adobe 仿宋 Std R"/>
          <w:sz w:val="32"/>
          <w:szCs w:val="32"/>
        </w:rPr>
      </w:pPr>
    </w:p>
    <w:p w14:paraId="3FA44D57">
      <w:pPr>
        <w:pStyle w:val="3"/>
        <w:rPr>
          <w:rFonts w:hint="eastAsia" w:ascii="黑体" w:hAnsi="黑体" w:eastAsia="黑体" w:cs="Adobe 仿宋 Std R"/>
          <w:sz w:val="32"/>
          <w:szCs w:val="32"/>
        </w:rPr>
      </w:pPr>
    </w:p>
    <w:p w14:paraId="378C37A3">
      <w:pPr>
        <w:pStyle w:val="3"/>
        <w:rPr>
          <w:rFonts w:hint="eastAsia" w:ascii="黑体" w:hAnsi="黑体" w:eastAsia="黑体" w:cs="Adobe 仿宋 Std R"/>
          <w:sz w:val="32"/>
          <w:szCs w:val="32"/>
        </w:rPr>
      </w:pPr>
    </w:p>
    <w:p w14:paraId="3150B0F4">
      <w:pPr>
        <w:pStyle w:val="3"/>
        <w:rPr>
          <w:rFonts w:hint="eastAsia" w:ascii="黑体" w:hAnsi="黑体" w:eastAsia="黑体" w:cs="Adobe 仿宋 Std R"/>
          <w:sz w:val="32"/>
          <w:szCs w:val="32"/>
        </w:rPr>
      </w:pPr>
    </w:p>
    <w:p w14:paraId="0EDBEC50">
      <w:pPr>
        <w:pStyle w:val="3"/>
        <w:rPr>
          <w:rFonts w:hint="eastAsia" w:ascii="黑体" w:hAnsi="黑体" w:eastAsia="黑体" w:cs="Adobe 仿宋 Std R"/>
          <w:sz w:val="32"/>
          <w:szCs w:val="32"/>
        </w:rPr>
      </w:pPr>
    </w:p>
    <w:p w14:paraId="0786AE5C">
      <w:pPr>
        <w:pStyle w:val="3"/>
        <w:rPr>
          <w:rFonts w:hint="eastAsia" w:ascii="黑体" w:hAnsi="黑体" w:eastAsia="黑体" w:cs="Adobe 仿宋 Std R"/>
          <w:sz w:val="32"/>
          <w:szCs w:val="32"/>
        </w:rPr>
      </w:pPr>
    </w:p>
    <w:p w14:paraId="542418AC">
      <w:pPr>
        <w:pStyle w:val="3"/>
        <w:rPr>
          <w:rFonts w:hint="eastAsia" w:ascii="黑体" w:hAnsi="黑体" w:eastAsia="黑体" w:cs="Adobe 仿宋 Std R"/>
          <w:sz w:val="32"/>
          <w:szCs w:val="32"/>
        </w:rPr>
      </w:pPr>
    </w:p>
    <w:p w14:paraId="00E3B3CE">
      <w:pPr>
        <w:pStyle w:val="3"/>
        <w:rPr>
          <w:rFonts w:hint="eastAsia" w:ascii="黑体" w:hAnsi="黑体" w:eastAsia="黑体" w:cs="Adobe 仿宋 Std R"/>
          <w:sz w:val="32"/>
          <w:szCs w:val="32"/>
        </w:rPr>
      </w:pPr>
    </w:p>
    <w:p w14:paraId="3FAB0825">
      <w:pPr>
        <w:pStyle w:val="4"/>
        <w:spacing w:beforeLines="0" w:afterLines="0"/>
        <w:rPr>
          <w:rFonts w:hint="eastAsia" w:ascii="仿宋_GB2312" w:eastAsia="仿宋_GB2312"/>
          <w:sz w:val="28"/>
          <w:szCs w:val="24"/>
        </w:rPr>
      </w:pPr>
      <w:r>
        <w:rPr>
          <w:rFonts w:hint="eastAsia" w:ascii="仿宋_GB2312" w:eastAsia="仿宋_GB2312"/>
          <w:sz w:val="28"/>
          <w:szCs w:val="24"/>
          <w:lang w:val="en-US" w:eastAsia="zh-CN"/>
        </w:rPr>
        <w:t>乡</w:t>
      </w:r>
      <w:r>
        <w:rPr>
          <w:rFonts w:hint="eastAsia" w:ascii="仿宋_GB2312" w:eastAsia="仿宋_GB2312"/>
          <w:sz w:val="28"/>
          <w:szCs w:val="24"/>
        </w:rPr>
        <w:t>村振兴类</w:t>
      </w:r>
      <w:r>
        <w:rPr>
          <w:rFonts w:hint="eastAsia" w:ascii="仿宋_GB2312" w:eastAsia="仿宋_GB2312"/>
          <w:sz w:val="28"/>
          <w:szCs w:val="24"/>
          <w:lang w:val="en-US" w:eastAsia="zh-CN"/>
        </w:rPr>
        <w:t>项目</w:t>
      </w:r>
      <w:r>
        <w:rPr>
          <w:rFonts w:hint="eastAsia" w:ascii="仿宋_GB2312" w:eastAsia="仿宋_GB2312"/>
          <w:sz w:val="28"/>
          <w:szCs w:val="24"/>
        </w:rPr>
        <w:t>命题</w:t>
      </w:r>
      <w:r>
        <w:rPr>
          <w:rFonts w:hint="eastAsia" w:ascii="仿宋_GB2312" w:eastAsia="仿宋_GB2312"/>
          <w:sz w:val="28"/>
          <w:szCs w:val="24"/>
          <w:lang w:val="en-US" w:eastAsia="zh-CN"/>
        </w:rPr>
        <w:t>6</w:t>
      </w:r>
      <w:r>
        <w:rPr>
          <w:rFonts w:hint="eastAsia" w:ascii="仿宋_GB2312" w:eastAsia="仿宋_GB2312"/>
          <w:sz w:val="28"/>
          <w:szCs w:val="24"/>
        </w:rPr>
        <w:t>：</w:t>
      </w:r>
    </w:p>
    <w:p w14:paraId="202286E1">
      <w:pPr>
        <w:rPr>
          <w:rFonts w:hint="eastAsia"/>
        </w:rPr>
      </w:pPr>
    </w:p>
    <w:bookmarkEnd w:id="0"/>
    <w:bookmarkEnd w:id="1"/>
    <w:p w14:paraId="2C5DDDD7">
      <w:pPr>
        <w:pStyle w:val="4"/>
        <w:jc w:val="center"/>
        <w:rPr>
          <w:rFonts w:ascii="仿宋_GB2312" w:eastAsia="仿宋_GB2312"/>
          <w:sz w:val="28"/>
          <w:szCs w:val="28"/>
        </w:rPr>
      </w:pPr>
      <w:r>
        <w:rPr>
          <w:rFonts w:hint="eastAsia" w:ascii="仿宋_GB2312" w:eastAsia="仿宋_GB2312"/>
          <w:sz w:val="28"/>
          <w:szCs w:val="28"/>
          <w:lang w:val="en-US" w:eastAsia="zh-CN"/>
        </w:rPr>
        <w:t>兰考县东坝头镇</w:t>
      </w:r>
      <w:r>
        <w:rPr>
          <w:rFonts w:hint="eastAsia" w:ascii="仿宋_GB2312" w:hAnsi="微软雅黑" w:eastAsia="仿宋_GB2312" w:cs="微软雅黑"/>
          <w:sz w:val="28"/>
          <w:szCs w:val="28"/>
        </w:rPr>
        <w:t>“</w:t>
      </w:r>
      <w:r>
        <w:rPr>
          <w:rFonts w:hint="eastAsia" w:ascii="仿宋_GB2312" w:hAnsi="微软雅黑" w:eastAsia="仿宋_GB2312" w:cs="微软雅黑"/>
          <w:sz w:val="28"/>
          <w:szCs w:val="28"/>
          <w:lang w:val="en-US" w:eastAsia="zh-CN"/>
        </w:rPr>
        <w:t>农文旅商融合发展助力乡村振兴</w:t>
      </w:r>
      <w:r>
        <w:rPr>
          <w:rFonts w:hint="eastAsia" w:ascii="仿宋_GB2312" w:hAnsi="微软雅黑" w:eastAsia="仿宋_GB2312" w:cs="微软雅黑"/>
          <w:sz w:val="28"/>
          <w:szCs w:val="28"/>
        </w:rPr>
        <w:t>”</w:t>
      </w:r>
      <w:r>
        <w:rPr>
          <w:rFonts w:hint="eastAsia" w:ascii="仿宋_GB2312" w:hAnsi="宋体" w:eastAsia="仿宋_GB2312"/>
          <w:sz w:val="28"/>
          <w:szCs w:val="28"/>
        </w:rPr>
        <w:t>项目</w:t>
      </w:r>
      <w:r>
        <w:rPr>
          <w:rFonts w:hint="eastAsia" w:ascii="仿宋_GB2312" w:hAnsi="微软雅黑" w:eastAsia="仿宋_GB2312" w:cs="微软雅黑"/>
          <w:sz w:val="28"/>
          <w:szCs w:val="28"/>
        </w:rPr>
        <w:t>策划</w:t>
      </w:r>
    </w:p>
    <w:tbl>
      <w:tblPr>
        <w:tblStyle w:val="8"/>
        <w:tblW w:w="5000"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6"/>
      </w:tblGrid>
      <w:tr w14:paraId="38AB3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shd w:val="clear" w:color="auto" w:fill="auto"/>
          </w:tcPr>
          <w:p w14:paraId="28E13E0A">
            <w:pPr>
              <w:pStyle w:val="4"/>
              <w:jc w:val="center"/>
              <w:rPr>
                <w:rFonts w:hint="eastAsia" w:ascii="仿宋_GB2312" w:hAnsi="宋体" w:eastAsia="仿宋_GB2312"/>
                <w:b/>
                <w:bCs/>
                <w:sz w:val="28"/>
                <w:szCs w:val="28"/>
              </w:rPr>
            </w:pPr>
            <w:r>
              <w:rPr>
                <w:rFonts w:hint="eastAsia" w:ascii="仿宋_GB2312" w:eastAsia="仿宋_GB2312"/>
                <w:sz w:val="28"/>
                <w:szCs w:val="28"/>
                <w:lang w:val="en-US" w:eastAsia="zh-CN"/>
              </w:rPr>
              <w:t>兰考县东坝头镇</w:t>
            </w:r>
            <w:r>
              <w:rPr>
                <w:rFonts w:hint="eastAsia" w:ascii="仿宋_GB2312" w:hAnsi="微软雅黑" w:eastAsia="仿宋_GB2312" w:cs="微软雅黑"/>
                <w:sz w:val="28"/>
                <w:szCs w:val="28"/>
              </w:rPr>
              <w:t>“</w:t>
            </w:r>
            <w:r>
              <w:rPr>
                <w:rFonts w:hint="eastAsia" w:ascii="仿宋_GB2312" w:hAnsi="微软雅黑" w:eastAsia="仿宋_GB2312" w:cs="微软雅黑"/>
                <w:sz w:val="28"/>
                <w:szCs w:val="28"/>
                <w:lang w:val="en-US" w:eastAsia="zh-CN"/>
              </w:rPr>
              <w:t>农文旅商融合发展助力乡村振兴</w:t>
            </w:r>
            <w:r>
              <w:rPr>
                <w:rFonts w:hint="eastAsia" w:ascii="仿宋_GB2312" w:hAnsi="微软雅黑" w:eastAsia="仿宋_GB2312" w:cs="微软雅黑"/>
                <w:sz w:val="28"/>
                <w:szCs w:val="28"/>
              </w:rPr>
              <w:t>”</w:t>
            </w:r>
            <w:r>
              <w:rPr>
                <w:rFonts w:hint="eastAsia" w:ascii="仿宋_GB2312" w:hAnsi="宋体" w:eastAsia="仿宋_GB2312"/>
                <w:sz w:val="28"/>
                <w:szCs w:val="28"/>
              </w:rPr>
              <w:t>项目</w:t>
            </w:r>
            <w:r>
              <w:rPr>
                <w:rFonts w:hint="eastAsia" w:ascii="仿宋_GB2312" w:hAnsi="微软雅黑" w:eastAsia="仿宋_GB2312" w:cs="微软雅黑"/>
                <w:sz w:val="28"/>
                <w:szCs w:val="28"/>
              </w:rPr>
              <w:t>策划</w:t>
            </w:r>
          </w:p>
        </w:tc>
      </w:tr>
      <w:tr w14:paraId="58D47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5EAD8145">
            <w:pPr>
              <w:pStyle w:val="7"/>
              <w:widowControl/>
              <w:spacing w:line="440" w:lineRule="exact"/>
              <w:jc w:val="center"/>
              <w:rPr>
                <w:rFonts w:ascii="仿宋_GB2312" w:hAnsi="宋体" w:eastAsia="仿宋_GB2312"/>
                <w:color w:val="000000" w:themeColor="text1"/>
                <w:sz w:val="28"/>
                <w:szCs w:val="28"/>
                <w14:textFill>
                  <w14:solidFill>
                    <w14:schemeClr w14:val="tx1"/>
                  </w14:solidFill>
                </w14:textFill>
              </w:rPr>
            </w:pPr>
            <w:r>
              <w:rPr>
                <w:rFonts w:hint="eastAsia" w:ascii="仿宋_GB2312" w:hAnsi="宋体" w:eastAsia="仿宋_GB2312"/>
                <w:color w:val="000000" w:themeColor="text1"/>
                <w:sz w:val="28"/>
                <w:szCs w:val="28"/>
                <w14:textFill>
                  <w14:solidFill>
                    <w14:schemeClr w14:val="tx1"/>
                  </w14:solidFill>
                </w14:textFill>
              </w:rPr>
              <w:t>问题提出方：</w:t>
            </w:r>
            <w:r>
              <w:rPr>
                <w:rFonts w:hint="eastAsia" w:ascii="仿宋_GB2312" w:hAnsi="宋体" w:eastAsia="仿宋_GB2312"/>
                <w:color w:val="000000" w:themeColor="text1"/>
                <w:sz w:val="28"/>
                <w:szCs w:val="28"/>
                <w:lang w:val="en-US" w:eastAsia="zh-CN"/>
                <w14:textFill>
                  <w14:solidFill>
                    <w14:schemeClr w14:val="tx1"/>
                  </w14:solidFill>
                </w14:textFill>
              </w:rPr>
              <w:t>兰考县东坝头镇</w:t>
            </w:r>
          </w:p>
        </w:tc>
      </w:tr>
      <w:tr w14:paraId="1A02F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4F7101F5">
            <w:pPr>
              <w:pStyle w:val="11"/>
              <w:numPr>
                <w:ilvl w:val="0"/>
                <w:numId w:val="2"/>
              </w:numPr>
              <w:spacing w:line="360" w:lineRule="auto"/>
              <w:jc w:val="both"/>
              <w:rPr>
                <w:rFonts w:ascii="仿宋_GB2312" w:hAnsi="Times New Roman" w:eastAsia="仿宋_GB2312"/>
                <w:b/>
                <w:bCs/>
                <w:color w:val="000000" w:themeColor="text1"/>
                <w:sz w:val="28"/>
                <w:szCs w:val="28"/>
                <w14:textFill>
                  <w14:solidFill>
                    <w14:schemeClr w14:val="tx1"/>
                  </w14:solidFill>
                </w14:textFill>
              </w:rPr>
            </w:pPr>
            <w:r>
              <w:rPr>
                <w:rFonts w:hint="eastAsia" w:ascii="仿宋_GB2312" w:hAnsi="Times New Roman" w:eastAsia="仿宋_GB2312"/>
                <w:b/>
                <w:bCs/>
                <w:color w:val="000000" w:themeColor="text1"/>
                <w:sz w:val="28"/>
                <w:szCs w:val="28"/>
                <w14:textFill>
                  <w14:solidFill>
                    <w14:schemeClr w14:val="tx1"/>
                  </w14:solidFill>
                </w14:textFill>
              </w:rPr>
              <w:t>问题背景</w:t>
            </w:r>
          </w:p>
          <w:p w14:paraId="06031406">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b w:val="0"/>
                <w:i w:val="0"/>
                <w:caps w:val="0"/>
                <w:color w:val="000000" w:themeColor="text1"/>
                <w:spacing w:val="0"/>
                <w:w w:val="100"/>
                <w:sz w:val="28"/>
                <w:szCs w:val="28"/>
                <w:lang w:eastAsia="zh-CN"/>
                <w14:textFill>
                  <w14:solidFill>
                    <w14:schemeClr w14:val="tx1"/>
                  </w14:solidFill>
                </w14:textFill>
              </w:rPr>
              <w:t>兰考县</w:t>
            </w:r>
            <w:r>
              <w:rPr>
                <w:rFonts w:hint="default" w:ascii="Times New Roman" w:hAnsi="Times New Roman" w:eastAsia="仿宋_GB2312" w:cs="Times New Roman"/>
                <w:b w:val="0"/>
                <w:i w:val="0"/>
                <w:caps w:val="0"/>
                <w:color w:val="000000" w:themeColor="text1"/>
                <w:spacing w:val="0"/>
                <w:w w:val="100"/>
                <w:sz w:val="28"/>
                <w:szCs w:val="28"/>
                <w14:textFill>
                  <w14:solidFill>
                    <w14:schemeClr w14:val="tx1"/>
                  </w14:solidFill>
                </w14:textFill>
              </w:rPr>
              <w:t>东坝头</w:t>
            </w:r>
            <w:r>
              <w:rPr>
                <w:rFonts w:hint="default" w:ascii="Times New Roman" w:hAnsi="Times New Roman" w:eastAsia="仿宋_GB2312" w:cs="Times New Roman"/>
                <w:b w:val="0"/>
                <w:i w:val="0"/>
                <w:caps w:val="0"/>
                <w:color w:val="000000" w:themeColor="text1"/>
                <w:spacing w:val="0"/>
                <w:w w:val="100"/>
                <w:sz w:val="28"/>
                <w:szCs w:val="28"/>
                <w:lang w:eastAsia="zh-CN"/>
                <w14:textFill>
                  <w14:solidFill>
                    <w14:schemeClr w14:val="tx1"/>
                  </w14:solidFill>
                </w14:textFill>
              </w:rPr>
              <w:t>镇</w:t>
            </w:r>
            <w:r>
              <w:rPr>
                <w:rFonts w:hint="default" w:ascii="Times New Roman" w:hAnsi="Times New Roman" w:eastAsia="仿宋_GB2312" w:cs="Times New Roman"/>
                <w:b w:val="0"/>
                <w:i w:val="0"/>
                <w:caps w:val="0"/>
                <w:color w:val="000000" w:themeColor="text1"/>
                <w:spacing w:val="0"/>
                <w:w w:val="100"/>
                <w:sz w:val="28"/>
                <w:szCs w:val="28"/>
                <w14:textFill>
                  <w14:solidFill>
                    <w14:schemeClr w14:val="tx1"/>
                  </w14:solidFill>
                </w14:textFill>
              </w:rPr>
              <w:t>古称铜瓦厢，位于九曲黄河最后一道湾黄河岸边，兰考县</w:t>
            </w:r>
            <w:r>
              <w:rPr>
                <w:rFonts w:hint="default" w:ascii="Times New Roman" w:hAnsi="Times New Roman" w:eastAsia="仿宋_GB2312" w:cs="Times New Roman"/>
                <w:b w:val="0"/>
                <w:i w:val="0"/>
                <w:caps w:val="0"/>
                <w:color w:val="000000" w:themeColor="text1"/>
                <w:spacing w:val="0"/>
                <w:w w:val="100"/>
                <w:sz w:val="28"/>
                <w:szCs w:val="28"/>
                <w:lang w:val="en-US" w:eastAsia="zh-CN"/>
                <w14:textFill>
                  <w14:solidFill>
                    <w14:schemeClr w14:val="tx1"/>
                  </w14:solidFill>
                </w14:textFill>
              </w:rPr>
              <w:t>城</w:t>
            </w:r>
            <w:r>
              <w:rPr>
                <w:rFonts w:hint="default" w:ascii="Times New Roman" w:hAnsi="Times New Roman" w:eastAsia="仿宋_GB2312" w:cs="Times New Roman"/>
                <w:b w:val="0"/>
                <w:i w:val="0"/>
                <w:caps w:val="0"/>
                <w:color w:val="000000" w:themeColor="text1"/>
                <w:spacing w:val="0"/>
                <w:w w:val="100"/>
                <w:sz w:val="28"/>
                <w:szCs w:val="28"/>
                <w14:textFill>
                  <w14:solidFill>
                    <w14:schemeClr w14:val="tx1"/>
                  </w14:solidFill>
                </w14:textFill>
              </w:rPr>
              <w:t>西北</w:t>
            </w:r>
            <w:r>
              <w:rPr>
                <w:rFonts w:hint="default" w:ascii="Times New Roman" w:hAnsi="Times New Roman" w:eastAsia="仿宋_GB2312" w:cs="Times New Roman"/>
                <w:b w:val="0"/>
                <w:i w:val="0"/>
                <w:caps w:val="0"/>
                <w:color w:val="000000" w:themeColor="text1"/>
                <w:spacing w:val="0"/>
                <w:w w:val="100"/>
                <w:sz w:val="28"/>
                <w:szCs w:val="28"/>
                <w:lang w:val="en-US" w:eastAsia="zh-CN"/>
                <w14:textFill>
                  <w14:solidFill>
                    <w14:schemeClr w14:val="tx1"/>
                  </w14:solidFill>
                </w14:textFill>
              </w:rPr>
              <w:t>11公里处</w:t>
            </w:r>
            <w:r>
              <w:rPr>
                <w:rFonts w:hint="default" w:ascii="Times New Roman" w:hAnsi="Times New Roman" w:eastAsia="仿宋_GB2312" w:cs="Times New Roman"/>
                <w:b w:val="0"/>
                <w:i w:val="0"/>
                <w:caps w:val="0"/>
                <w:color w:val="000000" w:themeColor="text1"/>
                <w:spacing w:val="0"/>
                <w:w w:val="100"/>
                <w:sz w:val="28"/>
                <w:szCs w:val="28"/>
                <w14:textFill>
                  <w14:solidFill>
                    <w14:schemeClr w14:val="tx1"/>
                  </w14:solidFill>
                </w14:textFill>
              </w:rPr>
              <w:t>，总面积74平方公里，辖15个行政村，</w:t>
            </w:r>
            <w:r>
              <w:rPr>
                <w:rFonts w:hint="default" w:ascii="Times New Roman" w:hAnsi="Times New Roman" w:eastAsia="仿宋_GB2312" w:cs="Times New Roman"/>
                <w:b w:val="0"/>
                <w:i w:val="0"/>
                <w:caps w:val="0"/>
                <w:color w:val="000000" w:themeColor="text1"/>
                <w:spacing w:val="0"/>
                <w:w w:val="100"/>
                <w:sz w:val="28"/>
                <w:szCs w:val="28"/>
                <w:lang w:val="en-US" w:eastAsia="zh-CN"/>
                <w14:textFill>
                  <w14:solidFill>
                    <w14:schemeClr w14:val="tx1"/>
                  </w14:solidFill>
                </w14:textFill>
              </w:rPr>
              <w:t>人口</w:t>
            </w:r>
            <w:r>
              <w:rPr>
                <w:rFonts w:hint="default" w:ascii="Times New Roman" w:hAnsi="Times New Roman" w:eastAsia="仿宋_GB2312" w:cs="Times New Roman"/>
                <w:b w:val="0"/>
                <w:i w:val="0"/>
                <w:caps w:val="0"/>
                <w:color w:val="000000" w:themeColor="text1"/>
                <w:spacing w:val="0"/>
                <w:w w:val="100"/>
                <w:sz w:val="28"/>
                <w:szCs w:val="28"/>
                <w14:textFill>
                  <w14:solidFill>
                    <w14:schemeClr w14:val="tx1"/>
                  </w14:solidFill>
                </w14:textFill>
              </w:rPr>
              <w:t>3.9</w:t>
            </w:r>
            <w:r>
              <w:rPr>
                <w:rFonts w:hint="default" w:ascii="Times New Roman" w:hAnsi="Times New Roman" w:eastAsia="仿宋_GB2312" w:cs="Times New Roman"/>
                <w:b w:val="0"/>
                <w:i w:val="0"/>
                <w:caps w:val="0"/>
                <w:color w:val="000000" w:themeColor="text1"/>
                <w:spacing w:val="0"/>
                <w:w w:val="100"/>
                <w:sz w:val="28"/>
                <w:szCs w:val="28"/>
                <w:lang w:val="en-US" w:eastAsia="zh-CN"/>
                <w14:textFill>
                  <w14:solidFill>
                    <w14:schemeClr w14:val="tx1"/>
                  </w14:solidFill>
                </w14:textFill>
              </w:rPr>
              <w:t>6</w:t>
            </w:r>
            <w:r>
              <w:rPr>
                <w:rFonts w:hint="default" w:ascii="Times New Roman" w:hAnsi="Times New Roman" w:eastAsia="仿宋_GB2312" w:cs="Times New Roman"/>
                <w:b w:val="0"/>
                <w:i w:val="0"/>
                <w:caps w:val="0"/>
                <w:color w:val="000000" w:themeColor="text1"/>
                <w:spacing w:val="0"/>
                <w:w w:val="100"/>
                <w:sz w:val="28"/>
                <w:szCs w:val="28"/>
                <w14:textFill>
                  <w14:solidFill>
                    <w14:schemeClr w14:val="tx1"/>
                  </w14:solidFill>
                </w14:textFill>
              </w:rPr>
              <w:t>万，</w:t>
            </w:r>
            <w:r>
              <w:rPr>
                <w:rFonts w:hint="default" w:ascii="Times New Roman" w:hAnsi="Times New Roman" w:eastAsia="仿宋_GB2312" w:cs="Times New Roman"/>
                <w:b w:val="0"/>
                <w:i w:val="0"/>
                <w:caps w:val="0"/>
                <w:color w:val="000000" w:themeColor="text1"/>
                <w:spacing w:val="0"/>
                <w:w w:val="100"/>
                <w:sz w:val="28"/>
                <w:szCs w:val="28"/>
                <w:lang w:val="en-US" w:eastAsia="zh-CN"/>
                <w14:textFill>
                  <w14:solidFill>
                    <w14:schemeClr w14:val="tx1"/>
                  </w14:solidFill>
                </w14:textFill>
              </w:rPr>
              <w:t>耕地5.9万亩</w:t>
            </w:r>
            <w:r>
              <w:rPr>
                <w:rFonts w:hint="eastAsia" w:ascii="Times New Roman" w:hAnsi="Times New Roman" w:eastAsia="仿宋_GB2312" w:cs="Times New Roman"/>
                <w:b w:val="0"/>
                <w:i w:val="0"/>
                <w:caps w:val="0"/>
                <w:color w:val="000000" w:themeColor="text1"/>
                <w:spacing w:val="0"/>
                <w:w w:val="100"/>
                <w:sz w:val="28"/>
                <w:szCs w:val="28"/>
                <w:lang w:val="en-US" w:eastAsia="zh-CN"/>
                <w14:textFill>
                  <w14:solidFill>
                    <w14:schemeClr w14:val="tx1"/>
                  </w14:solidFill>
                </w14:textFill>
              </w:rPr>
              <w:t>，</w:t>
            </w:r>
            <w:r>
              <w:rPr>
                <w:rFonts w:hint="default" w:ascii="Times New Roman" w:hAnsi="Times New Roman" w:eastAsia="仿宋_GB2312" w:cs="Times New Roman"/>
                <w:color w:val="000000" w:themeColor="text1"/>
                <w:sz w:val="28"/>
                <w:szCs w:val="28"/>
                <w:lang w:eastAsia="zh-CN"/>
                <w14:textFill>
                  <w14:solidFill>
                    <w14:schemeClr w14:val="tx1"/>
                  </w14:solidFill>
                </w14:textFill>
              </w:rPr>
              <w:t>是</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当年焦裕禄书记带领兰考人民</w:t>
            </w: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治理“三害”</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的主战场，</w:t>
            </w:r>
            <w:r>
              <w:rPr>
                <w:rFonts w:hint="default" w:ascii="Times New Roman" w:hAnsi="Times New Roman" w:eastAsia="仿宋_GB2312" w:cs="Times New Roman"/>
                <w:color w:val="000000" w:themeColor="text1"/>
                <w:sz w:val="28"/>
                <w:szCs w:val="28"/>
                <w14:textFill>
                  <w14:solidFill>
                    <w14:schemeClr w14:val="tx1"/>
                  </w14:solidFill>
                </w14:textFill>
              </w:rPr>
              <w:t>是毛</w:t>
            </w:r>
            <w:r>
              <w:rPr>
                <w:rFonts w:hint="eastAsia" w:ascii="Times New Roman" w:hAnsi="Times New Roman" w:eastAsia="仿宋_GB2312" w:cs="Times New Roman"/>
                <w:color w:val="000000" w:themeColor="text1"/>
                <w:sz w:val="28"/>
                <w:szCs w:val="28"/>
                <w:lang w:eastAsia="zh-CN"/>
                <w14:textFill>
                  <w14:solidFill>
                    <w14:schemeClr w14:val="tx1"/>
                  </w14:solidFill>
                </w14:textFill>
              </w:rPr>
              <w:t>泽东、习近平等国家领导人视察过的地方，</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2018年10月撤乡建镇。</w:t>
            </w:r>
          </w:p>
          <w:p w14:paraId="2A7386BB">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东坝头之地，历史悠久，文化厚重，镇域内东有</w:t>
            </w:r>
            <w:r>
              <w:rPr>
                <w:rFonts w:hint="default" w:ascii="Times New Roman" w:hAnsi="Times New Roman" w:eastAsia="仿宋_GB2312" w:cs="Times New Roman"/>
                <w:color w:val="000000" w:themeColor="text1"/>
                <w:sz w:val="28"/>
                <w:szCs w:val="28"/>
                <w14:textFill>
                  <w14:solidFill>
                    <w14:schemeClr w14:val="tx1"/>
                  </w14:solidFill>
                </w14:textFill>
              </w:rPr>
              <w:t>梦里张庄</w:t>
            </w:r>
            <w:r>
              <w:rPr>
                <w:rFonts w:hint="default" w:ascii="Times New Roman" w:hAnsi="Times New Roman" w:eastAsia="仿宋_GB2312" w:cs="Times New Roman"/>
                <w:color w:val="000000" w:themeColor="text1"/>
                <w:sz w:val="28"/>
                <w:szCs w:val="28"/>
                <w:lang w:eastAsia="zh-CN"/>
                <w14:textFill>
                  <w14:solidFill>
                    <w14:schemeClr w14:val="tx1"/>
                  </w14:solidFill>
                </w14:textFill>
              </w:rPr>
              <w:t>、焦裕禄精神体验教育基地、四面红旗馆</w:t>
            </w:r>
            <w:r>
              <w:rPr>
                <w:rFonts w:hint="eastAsia" w:ascii="Times New Roman" w:hAnsi="Times New Roman" w:eastAsia="仿宋_GB2312" w:cs="Times New Roman"/>
                <w:color w:val="000000" w:themeColor="text1"/>
                <w:sz w:val="28"/>
                <w:szCs w:val="28"/>
                <w:lang w:eastAsia="zh-CN"/>
                <w14:textFill>
                  <w14:solidFill>
                    <w14:schemeClr w14:val="tx1"/>
                  </w14:solidFill>
                </w14:textFill>
              </w:rPr>
              <w:t>等研学基地，西有</w:t>
            </w:r>
            <w:r>
              <w:rPr>
                <w:rFonts w:hint="default" w:ascii="Times New Roman" w:hAnsi="Times New Roman" w:eastAsia="仿宋_GB2312" w:cs="Times New Roman"/>
                <w:color w:val="000000" w:themeColor="text1"/>
                <w:sz w:val="28"/>
                <w:szCs w:val="28"/>
                <w14:textFill>
                  <w14:solidFill>
                    <w14:schemeClr w14:val="tx1"/>
                  </w14:solidFill>
                </w14:textFill>
              </w:rPr>
              <w:t>黄河</w:t>
            </w:r>
            <w:r>
              <w:rPr>
                <w:rFonts w:hint="eastAsia" w:ascii="Times New Roman" w:hAnsi="Times New Roman" w:eastAsia="仿宋_GB2312" w:cs="Times New Roman"/>
                <w:color w:val="000000" w:themeColor="text1"/>
                <w:sz w:val="28"/>
                <w:szCs w:val="28"/>
                <w:lang w:eastAsia="zh-CN"/>
                <w14:textFill>
                  <w14:solidFill>
                    <w14:schemeClr w14:val="tx1"/>
                  </w14:solidFill>
                </w14:textFill>
              </w:rPr>
              <w:t>湾</w:t>
            </w:r>
            <w:r>
              <w:rPr>
                <w:rFonts w:hint="default" w:ascii="Times New Roman" w:hAnsi="Times New Roman" w:eastAsia="仿宋_GB2312" w:cs="Times New Roman"/>
                <w:color w:val="000000" w:themeColor="text1"/>
                <w:sz w:val="28"/>
                <w:szCs w:val="28"/>
                <w14:textFill>
                  <w14:solidFill>
                    <w14:schemeClr w14:val="tx1"/>
                  </w14:solidFill>
                </w14:textFill>
              </w:rPr>
              <w:t>风景区、毛主席视察黄河纪念亭</w:t>
            </w:r>
            <w:r>
              <w:rPr>
                <w:rFonts w:hint="eastAsia" w:ascii="Times New Roman" w:hAnsi="Times New Roman" w:eastAsia="仿宋_GB2312" w:cs="Times New Roman"/>
                <w:color w:val="000000" w:themeColor="text1"/>
                <w:sz w:val="28"/>
                <w:szCs w:val="28"/>
                <w:lang w:eastAsia="zh-CN"/>
                <w14:textFill>
                  <w14:solidFill>
                    <w14:schemeClr w14:val="tx1"/>
                  </w14:solidFill>
                </w14:textFill>
              </w:rPr>
              <w:t>、汽车露营地等景点，南有占地</w:t>
            </w: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1000余亩的家居产业工业园区，北有3.2万亩的紫花苜蓿种植基地</w:t>
            </w:r>
            <w:r>
              <w:rPr>
                <w:rFonts w:hint="default" w:ascii="Times New Roman" w:hAnsi="Times New Roman" w:eastAsia="仿宋_GB2312" w:cs="Times New Roman"/>
                <w:color w:val="000000" w:themeColor="text1"/>
                <w:sz w:val="28"/>
                <w:szCs w:val="28"/>
                <w14:textFill>
                  <w14:solidFill>
                    <w14:schemeClr w14:val="tx1"/>
                  </w14:solidFill>
                </w14:textFill>
              </w:rPr>
              <w:t>，资源丰富，风光秀丽，潜力巨大，素有“兰考后花园”之美称，是远近闻名的旅游</w:t>
            </w:r>
            <w:r>
              <w:rPr>
                <w:rFonts w:hint="eastAsia" w:ascii="Times New Roman" w:hAnsi="Times New Roman" w:eastAsia="仿宋_GB2312" w:cs="Times New Roman"/>
                <w:color w:val="000000" w:themeColor="text1"/>
                <w:sz w:val="28"/>
                <w:szCs w:val="28"/>
                <w:lang w:eastAsia="zh-CN"/>
                <w14:textFill>
                  <w14:solidFill>
                    <w14:schemeClr w14:val="tx1"/>
                  </w14:solidFill>
                </w14:textFill>
              </w:rPr>
              <w:t>小镇，每年游客接待量保持在</w:t>
            </w: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20万人以上</w:t>
            </w:r>
            <w:r>
              <w:rPr>
                <w:rFonts w:hint="default" w:ascii="Times New Roman" w:hAnsi="Times New Roman" w:eastAsia="仿宋_GB2312" w:cs="Times New Roman"/>
                <w:color w:val="000000" w:themeColor="text1"/>
                <w:sz w:val="28"/>
                <w:szCs w:val="28"/>
                <w14:textFill>
                  <w14:solidFill>
                    <w14:schemeClr w14:val="tx1"/>
                  </w14:solidFill>
                </w14:textFill>
              </w:rPr>
              <w:t>。</w:t>
            </w:r>
          </w:p>
          <w:p w14:paraId="1D421B80">
            <w:pPr>
              <w:pStyle w:val="2"/>
              <w:keepNext w:val="0"/>
              <w:keepLines w:val="0"/>
              <w:pageBreakBefore w:val="0"/>
              <w:widowControl w:val="0"/>
              <w:kinsoku/>
              <w:wordWrap/>
              <w:overflowPunct/>
              <w:topLinePunct w:val="0"/>
              <w:autoSpaceDE/>
              <w:autoSpaceDN/>
              <w:bidi w:val="0"/>
              <w:spacing w:after="0" w:line="360" w:lineRule="auto"/>
              <w:ind w:firstLine="560" w:firstLineChars="200"/>
              <w:textAlignment w:val="auto"/>
              <w:rPr>
                <w:rFonts w:hint="eastAsia"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eastAsia="zh-CN"/>
                <w14:textFill>
                  <w14:solidFill>
                    <w14:schemeClr w14:val="tx1"/>
                  </w14:solidFill>
                </w14:textFill>
              </w:rPr>
              <w:t>东坝头镇虽然蕴藏着丰富的旅游资源、别具一格的乡村风情和广阔的发展舞台，但在当前消费升级和人们对高品质生活不断追求的趋势下，面临着农业和文旅结合不紧密、文化内涵挖掘不足、基础设施建设仍不完善、农文旅商融合项目缺乏系统规划和专业人才培养、各方利益分配不均衡等诸多问题和挑战。</w:t>
            </w:r>
          </w:p>
          <w:p w14:paraId="7F9326CD">
            <w:pPr>
              <w:pStyle w:val="2"/>
              <w:keepNext w:val="0"/>
              <w:keepLines w:val="0"/>
              <w:pageBreakBefore w:val="0"/>
              <w:widowControl w:val="0"/>
              <w:kinsoku/>
              <w:wordWrap/>
              <w:overflowPunct/>
              <w:topLinePunct w:val="0"/>
              <w:autoSpaceDE/>
              <w:autoSpaceDN/>
              <w:bidi w:val="0"/>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2025年中央一号文件中强调“深入实施农村产业融合发展项目，培育乡村新产业新业态。推进乡村文化和旅游深度融合，开展文化产业赋能乡村振兴试点，提升乡村旅游特色化、精品化、规范化水平。</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”在这一背景下，东坝头镇如何发挥农文旅商融合发展优势，以新质生产力发展乡村特色产业，实现农文旅商融合发展助力乡村振兴的目标至关重要。</w:t>
            </w:r>
          </w:p>
          <w:p w14:paraId="1765DBD1">
            <w:pPr>
              <w:jc w:val="both"/>
              <w:rPr>
                <w:color w:val="000000" w:themeColor="text1"/>
                <w14:textFill>
                  <w14:solidFill>
                    <w14:schemeClr w14:val="tx1"/>
                  </w14:solidFill>
                </w14:textFill>
              </w:rPr>
            </w:pPr>
          </w:p>
        </w:tc>
      </w:tr>
      <w:tr w14:paraId="3863B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1C3DFF15">
            <w:pPr>
              <w:pStyle w:val="11"/>
              <w:numPr>
                <w:ilvl w:val="0"/>
                <w:numId w:val="2"/>
              </w:numPr>
              <w:spacing w:line="360" w:lineRule="auto"/>
              <w:jc w:val="both"/>
              <w:rPr>
                <w:rFonts w:ascii="仿宋_GB2312" w:hAnsi="Times New Roman" w:eastAsia="仿宋_GB2312"/>
                <w:b/>
                <w:bCs/>
                <w:color w:val="000000" w:themeColor="text1"/>
                <w:sz w:val="28"/>
                <w:szCs w:val="28"/>
                <w14:textFill>
                  <w14:solidFill>
                    <w14:schemeClr w14:val="tx1"/>
                  </w14:solidFill>
                </w14:textFill>
              </w:rPr>
            </w:pPr>
            <w:r>
              <w:rPr>
                <w:rFonts w:hint="eastAsia" w:ascii="仿宋_GB2312" w:hAnsi="Times New Roman" w:eastAsia="仿宋_GB2312"/>
                <w:b/>
                <w:bCs/>
                <w:color w:val="000000" w:themeColor="text1"/>
                <w:sz w:val="28"/>
                <w:szCs w:val="28"/>
                <w14:textFill>
                  <w14:solidFill>
                    <w14:schemeClr w14:val="tx1"/>
                  </w14:solidFill>
                </w14:textFill>
              </w:rPr>
              <w:t>设计要求</w:t>
            </w:r>
          </w:p>
          <w:p w14:paraId="51EDFB70">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结合东坝头镇农文旅商融合发展的实际需求，在深入分析一二三产业资源优势的基础上，充分挖掘文化内涵、红色研学、传统美食、自然风光、特色产业、农副产品等丰富资源，提出农文旅商融合发展的规划和设计方案，有效激活东坝头镇农业、文化、旅游和商业之间的联动作用，进而实现农村经济繁荣、环境优美、文化兴盛、治理高效和民众富足的综合发展目标。</w:t>
            </w:r>
          </w:p>
          <w:p w14:paraId="71BA157B">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ascii="仿宋_GB2312" w:hAnsi="宋体" w:eastAsia="仿宋_GB2312"/>
                <w:color w:val="FF0000"/>
                <w:sz w:val="28"/>
                <w:szCs w:val="28"/>
              </w:rPr>
            </w:pPr>
            <w:r>
              <w:rPr>
                <w:rFonts w:hint="eastAsia" w:ascii="Times New Roman" w:hAnsi="Times New Roman" w:eastAsia="仿宋_GB2312" w:cs="Times New Roman"/>
                <w:sz w:val="28"/>
                <w:szCs w:val="28"/>
                <w:lang w:val="en-US" w:eastAsia="zh-CN"/>
              </w:rPr>
              <w:t>方案可以从宏观层面上提出切合实际、具体可行的农文旅商融合发展的规划设计，也可以在微观层面上聚焦文化创新与融合、打造农文旅特色IP、发展智慧旅游、壮大村集体经济、建立合理的利益分配机制、提升乡村基础设施和服务水平、举办节庆活动和主题旅游、开发红色研学和体验项目等小切口，探索全面推进乡村振兴背景下符合该地特色的农文旅商融合发展的新路径。</w:t>
            </w:r>
          </w:p>
        </w:tc>
      </w:tr>
      <w:tr w14:paraId="43522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19439D3A">
            <w:pPr>
              <w:spacing w:line="360" w:lineRule="auto"/>
              <w:rPr>
                <w:rFonts w:hint="default" w:ascii="仿宋_GB2312" w:hAnsi="宋体" w:eastAsia="仿宋_GB2312"/>
                <w:bCs/>
                <w:sz w:val="28"/>
                <w:szCs w:val="28"/>
                <w:lang w:val="en-US" w:eastAsia="zh-CN"/>
              </w:rPr>
            </w:pPr>
            <w:r>
              <w:rPr>
                <w:rFonts w:hint="eastAsia" w:ascii="仿宋_GB2312" w:hAnsi="宋体" w:eastAsia="仿宋_GB2312"/>
                <w:bCs/>
                <w:sz w:val="28"/>
                <w:szCs w:val="28"/>
              </w:rPr>
              <w:t xml:space="preserve">联系人： </w:t>
            </w:r>
            <w:r>
              <w:rPr>
                <w:rFonts w:hint="eastAsia" w:ascii="仿宋_GB2312" w:hAnsi="宋体" w:eastAsia="仿宋_GB2312"/>
                <w:bCs/>
                <w:sz w:val="28"/>
                <w:szCs w:val="28"/>
                <w:lang w:eastAsia="zh-CN"/>
              </w:rPr>
              <w:t>刘晶</w:t>
            </w:r>
            <w:r>
              <w:rPr>
                <w:rFonts w:hint="eastAsia" w:ascii="仿宋_GB2312" w:hAnsi="宋体" w:eastAsia="仿宋_GB2312"/>
                <w:bCs/>
                <w:sz w:val="28"/>
                <w:szCs w:val="28"/>
              </w:rPr>
              <w:t xml:space="preserve">              联系电话：</w:t>
            </w:r>
            <w:r>
              <w:rPr>
                <w:rFonts w:hint="eastAsia" w:ascii="仿宋_GB2312" w:hAnsi="宋体" w:eastAsia="仿宋_GB2312"/>
                <w:bCs/>
                <w:sz w:val="28"/>
                <w:szCs w:val="28"/>
                <w:lang w:val="en-US" w:eastAsia="zh-CN"/>
              </w:rPr>
              <w:t>15937125150</w:t>
            </w:r>
          </w:p>
        </w:tc>
      </w:tr>
    </w:tbl>
    <w:p w14:paraId="17AB674F">
      <w:pPr>
        <w:adjustRightInd w:val="0"/>
        <w:snapToGrid w:val="0"/>
        <w:spacing w:line="600" w:lineRule="exact"/>
        <w:rPr>
          <w:rFonts w:ascii="黑体" w:hAnsi="黑体" w:eastAsia="黑体" w:cs="Adobe 仿宋 Std R"/>
          <w:bCs/>
          <w:sz w:val="32"/>
          <w:szCs w:val="32"/>
        </w:rPr>
      </w:pPr>
    </w:p>
    <w:p w14:paraId="6DB1D16D">
      <w:pPr>
        <w:spacing w:line="540" w:lineRule="exact"/>
        <w:ind w:firstLine="640" w:firstLineChars="200"/>
        <w:jc w:val="left"/>
        <w:rPr>
          <w:rFonts w:ascii="仿宋_GB2312" w:hAnsi="方正仿宋_GB2312" w:eastAsia="仿宋_GB2312" w:cs="方正仿宋_GB2312"/>
          <w:color w:val="000000"/>
          <w:sz w:val="32"/>
          <w:szCs w:val="32"/>
        </w:rPr>
      </w:pPr>
    </w:p>
    <w:p w14:paraId="46D253F8">
      <w:pPr>
        <w:pStyle w:val="2"/>
        <w:rPr>
          <w:rFonts w:ascii="仿宋_GB2312" w:hAnsi="方正仿宋_GB2312" w:eastAsia="仿宋_GB2312" w:cs="方正仿宋_GB2312"/>
          <w:color w:val="000000"/>
          <w:sz w:val="32"/>
          <w:szCs w:val="32"/>
        </w:rPr>
      </w:pPr>
    </w:p>
    <w:p w14:paraId="037926FF">
      <w:pPr>
        <w:pStyle w:val="3"/>
      </w:pPr>
    </w:p>
    <w:p w14:paraId="76F5B2F5"/>
    <w:p w14:paraId="0D5EBED2">
      <w:pPr>
        <w:pStyle w:val="4"/>
        <w:rPr>
          <w:rFonts w:hint="eastAsia" w:ascii="仿宋_GB2312" w:eastAsia="仿宋_GB2312"/>
          <w:sz w:val="28"/>
          <w:szCs w:val="28"/>
        </w:rPr>
      </w:pPr>
      <w:r>
        <w:rPr>
          <w:rFonts w:hint="eastAsia" w:ascii="仿宋_GB2312" w:eastAsia="仿宋_GB2312"/>
          <w:sz w:val="28"/>
          <w:szCs w:val="28"/>
        </w:rPr>
        <w:t>乡村振兴类命题</w:t>
      </w:r>
      <w:r>
        <w:rPr>
          <w:rFonts w:hint="eastAsia" w:ascii="仿宋_GB2312" w:eastAsia="仿宋_GB2312"/>
          <w:sz w:val="28"/>
          <w:szCs w:val="28"/>
          <w:lang w:val="en-US" w:eastAsia="zh-CN"/>
        </w:rPr>
        <w:t>7</w:t>
      </w:r>
      <w:r>
        <w:rPr>
          <w:rFonts w:hint="eastAsia" w:ascii="仿宋_GB2312" w:eastAsia="仿宋_GB2312"/>
          <w:sz w:val="28"/>
          <w:szCs w:val="28"/>
        </w:rPr>
        <w:t>：</w:t>
      </w:r>
    </w:p>
    <w:p w14:paraId="32E00ADD">
      <w:pPr>
        <w:pStyle w:val="4"/>
        <w:jc w:val="center"/>
        <w:rPr>
          <w:rFonts w:ascii="仿宋_GB2312" w:eastAsia="仿宋_GB2312"/>
          <w:sz w:val="28"/>
          <w:szCs w:val="28"/>
        </w:rPr>
      </w:pPr>
      <w:r>
        <w:rPr>
          <w:rFonts w:hint="eastAsia" w:ascii="仿宋_GB2312" w:eastAsia="仿宋_GB2312"/>
          <w:sz w:val="28"/>
          <w:szCs w:val="28"/>
        </w:rPr>
        <w:t>兰考县许河镇</w:t>
      </w:r>
      <w:r>
        <w:rPr>
          <w:rFonts w:hint="eastAsia" w:ascii="仿宋_GB2312" w:hAnsi="微软雅黑" w:eastAsia="仿宋_GB2312" w:cs="微软雅黑"/>
          <w:sz w:val="28"/>
          <w:szCs w:val="28"/>
        </w:rPr>
        <w:t>“盐碱地综合治理助力乡村振兴”</w:t>
      </w:r>
      <w:r>
        <w:rPr>
          <w:rFonts w:hint="eastAsia" w:ascii="仿宋_GB2312" w:hAnsi="宋体" w:eastAsia="仿宋_GB2312"/>
          <w:sz w:val="28"/>
          <w:szCs w:val="28"/>
        </w:rPr>
        <w:t>项目</w:t>
      </w:r>
      <w:r>
        <w:rPr>
          <w:rFonts w:hint="eastAsia" w:ascii="仿宋_GB2312" w:hAnsi="微软雅黑" w:eastAsia="仿宋_GB2312" w:cs="微软雅黑"/>
          <w:sz w:val="28"/>
          <w:szCs w:val="28"/>
        </w:rPr>
        <w:t>策划</w:t>
      </w:r>
    </w:p>
    <w:tbl>
      <w:tblPr>
        <w:tblStyle w:val="8"/>
        <w:tblW w:w="5000"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6"/>
      </w:tblGrid>
      <w:tr w14:paraId="4A625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shd w:val="clear" w:color="auto" w:fill="auto"/>
            <w:vAlign w:val="center"/>
          </w:tcPr>
          <w:p w14:paraId="45FD1313">
            <w:pPr>
              <w:spacing w:line="360" w:lineRule="auto"/>
              <w:jc w:val="center"/>
              <w:rPr>
                <w:rFonts w:ascii="仿宋_GB2312" w:hAnsi="宋体" w:eastAsia="仿宋_GB2312"/>
                <w:b/>
                <w:bCs/>
                <w:sz w:val="28"/>
                <w:szCs w:val="28"/>
              </w:rPr>
            </w:pPr>
            <w:r>
              <w:rPr>
                <w:rFonts w:hint="eastAsia" w:ascii="仿宋_GB2312" w:eastAsia="仿宋_GB2312"/>
                <w:b/>
                <w:sz w:val="28"/>
                <w:szCs w:val="28"/>
              </w:rPr>
              <w:t>兰考县许河镇</w:t>
            </w:r>
            <w:r>
              <w:rPr>
                <w:rFonts w:hint="eastAsia" w:ascii="仿宋_GB2312" w:hAnsi="微软雅黑" w:eastAsia="仿宋_GB2312" w:cs="微软雅黑"/>
                <w:b/>
                <w:sz w:val="28"/>
                <w:szCs w:val="28"/>
              </w:rPr>
              <w:t>“盐碱地综合治理助力乡村振兴”</w:t>
            </w:r>
            <w:r>
              <w:rPr>
                <w:rFonts w:hint="eastAsia" w:ascii="仿宋_GB2312" w:hAnsi="宋体" w:eastAsia="仿宋_GB2312"/>
                <w:b/>
                <w:sz w:val="28"/>
                <w:szCs w:val="28"/>
              </w:rPr>
              <w:t>项目</w:t>
            </w:r>
            <w:r>
              <w:rPr>
                <w:rFonts w:hint="eastAsia" w:ascii="仿宋_GB2312" w:hAnsi="微软雅黑" w:eastAsia="仿宋_GB2312" w:cs="微软雅黑"/>
                <w:b/>
                <w:sz w:val="28"/>
                <w:szCs w:val="28"/>
              </w:rPr>
              <w:t>策划</w:t>
            </w:r>
          </w:p>
        </w:tc>
      </w:tr>
      <w:tr w14:paraId="6902E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14:paraId="0CA19B26">
            <w:pPr>
              <w:pStyle w:val="7"/>
              <w:widowControl/>
              <w:spacing w:line="360" w:lineRule="auto"/>
              <w:jc w:val="center"/>
              <w:rPr>
                <w:rFonts w:ascii="仿宋_GB2312" w:hAnsi="宋体" w:eastAsia="仿宋_GB2312"/>
                <w:color w:val="000000" w:themeColor="text1"/>
                <w:sz w:val="28"/>
                <w:szCs w:val="28"/>
                <w14:textFill>
                  <w14:solidFill>
                    <w14:schemeClr w14:val="tx1"/>
                  </w14:solidFill>
                </w14:textFill>
              </w:rPr>
            </w:pPr>
            <w:r>
              <w:rPr>
                <w:rFonts w:hint="eastAsia" w:ascii="仿宋_GB2312" w:hAnsi="宋体" w:eastAsia="仿宋_GB2312"/>
                <w:color w:val="000000" w:themeColor="text1"/>
                <w:sz w:val="28"/>
                <w:szCs w:val="28"/>
                <w14:textFill>
                  <w14:solidFill>
                    <w14:schemeClr w14:val="tx1"/>
                  </w14:solidFill>
                </w14:textFill>
              </w:rPr>
              <w:t>问题提出方：兰考县许河镇</w:t>
            </w:r>
          </w:p>
        </w:tc>
      </w:tr>
      <w:tr w14:paraId="71C3C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047BDC07">
            <w:pPr>
              <w:pStyle w:val="11"/>
              <w:numPr>
                <w:ilvl w:val="0"/>
                <w:numId w:val="0"/>
              </w:numPr>
              <w:spacing w:line="360" w:lineRule="auto"/>
              <w:ind w:leftChars="0" w:firstLine="562" w:firstLineChars="200"/>
              <w:jc w:val="both"/>
              <w:rPr>
                <w:rFonts w:ascii="仿宋_GB2312" w:hAnsi="Times New Roman" w:eastAsia="仿宋_GB2312"/>
                <w:b/>
                <w:bCs/>
                <w:color w:val="000000" w:themeColor="text1"/>
                <w:sz w:val="28"/>
                <w:szCs w:val="28"/>
                <w14:textFill>
                  <w14:solidFill>
                    <w14:schemeClr w14:val="tx1"/>
                  </w14:solidFill>
                </w14:textFill>
              </w:rPr>
            </w:pPr>
            <w:r>
              <w:rPr>
                <w:rFonts w:hint="eastAsia" w:ascii="仿宋_GB2312" w:hAnsi="Times New Roman" w:eastAsia="仿宋_GB2312"/>
                <w:b/>
                <w:bCs/>
                <w:color w:val="000000" w:themeColor="text1"/>
                <w:sz w:val="28"/>
                <w:szCs w:val="28"/>
                <w:lang w:val="en-US" w:eastAsia="zh-CN"/>
                <w14:textFill>
                  <w14:solidFill>
                    <w14:schemeClr w14:val="tx1"/>
                  </w14:solidFill>
                </w14:textFill>
              </w:rPr>
              <w:t>1.</w:t>
            </w:r>
            <w:r>
              <w:rPr>
                <w:rFonts w:hint="eastAsia" w:ascii="仿宋_GB2312" w:hAnsi="Times New Roman" w:eastAsia="仿宋_GB2312"/>
                <w:b/>
                <w:bCs/>
                <w:color w:val="000000" w:themeColor="text1"/>
                <w:sz w:val="28"/>
                <w:szCs w:val="28"/>
                <w14:textFill>
                  <w14:solidFill>
                    <w14:schemeClr w14:val="tx1"/>
                  </w14:solidFill>
                </w14:textFill>
              </w:rPr>
              <w:t>问题背景</w:t>
            </w:r>
          </w:p>
          <w:p w14:paraId="1453578B">
            <w:pPr>
              <w:spacing w:line="360" w:lineRule="auto"/>
              <w:ind w:firstLine="532" w:firstLineChars="190"/>
              <w:rPr>
                <w:rFonts w:ascii="仿宋_GB2312" w:hAnsi="宋体" w:eastAsia="仿宋_GB2312"/>
                <w:color w:val="000000" w:themeColor="text1"/>
                <w:sz w:val="28"/>
                <w:szCs w:val="28"/>
                <w14:textFill>
                  <w14:solidFill>
                    <w14:schemeClr w14:val="tx1"/>
                  </w14:solidFill>
                </w14:textFill>
              </w:rPr>
            </w:pPr>
            <w:r>
              <w:rPr>
                <w:rFonts w:hint="eastAsia" w:ascii="仿宋_GB2312" w:hAnsi="宋体" w:eastAsia="仿宋_GB2312"/>
                <w:color w:val="000000" w:themeColor="text1"/>
                <w:sz w:val="28"/>
                <w:szCs w:val="28"/>
                <w14:textFill>
                  <w14:solidFill>
                    <w14:schemeClr w14:val="tx1"/>
                  </w14:solidFill>
                </w14:textFill>
              </w:rPr>
              <w:t>为</w:t>
            </w:r>
            <w:r>
              <w:rPr>
                <w:rFonts w:ascii="仿宋_GB2312" w:hAnsi="宋体" w:eastAsia="仿宋_GB2312"/>
                <w:color w:val="000000" w:themeColor="text1"/>
                <w:sz w:val="28"/>
                <w:szCs w:val="28"/>
                <w14:textFill>
                  <w14:solidFill>
                    <w14:schemeClr w14:val="tx1"/>
                  </w14:solidFill>
                </w14:textFill>
              </w:rPr>
              <w:t>加强现有盐碱耕地改造提升，稳步</w:t>
            </w:r>
            <w:r>
              <w:rPr>
                <w:rFonts w:hint="eastAsia" w:ascii="仿宋_GB2312" w:hAnsi="宋体" w:eastAsia="仿宋_GB2312"/>
                <w:color w:val="000000" w:themeColor="text1"/>
                <w:sz w:val="28"/>
                <w:szCs w:val="28"/>
                <w14:textFill>
                  <w14:solidFill>
                    <w14:schemeClr w14:val="tx1"/>
                  </w14:solidFill>
                </w14:textFill>
              </w:rPr>
              <w:t>推进农业绿色转型与高质量发展，兰考县许河镇</w:t>
            </w:r>
            <w:r>
              <w:rPr>
                <w:rFonts w:ascii="仿宋_GB2312" w:hAnsi="宋体" w:eastAsia="仿宋_GB2312"/>
                <w:color w:val="000000" w:themeColor="text1"/>
                <w:sz w:val="28"/>
                <w:szCs w:val="28"/>
                <w14:textFill>
                  <w14:solidFill>
                    <w14:schemeClr w14:val="tx1"/>
                  </w14:solidFill>
                </w14:textFill>
              </w:rPr>
              <w:t>开展</w:t>
            </w:r>
            <w:r>
              <w:rPr>
                <w:rFonts w:hint="eastAsia" w:ascii="仿宋_GB2312" w:hAnsi="宋体" w:eastAsia="仿宋_GB2312"/>
                <w:color w:val="000000" w:themeColor="text1"/>
                <w:sz w:val="28"/>
                <w:szCs w:val="28"/>
                <w14:textFill>
                  <w14:solidFill>
                    <w14:schemeClr w14:val="tx1"/>
                  </w14:solidFill>
                </w14:textFill>
              </w:rPr>
              <w:t>了</w:t>
            </w:r>
            <w:r>
              <w:rPr>
                <w:rFonts w:ascii="仿宋_GB2312" w:hAnsi="宋体" w:eastAsia="仿宋_GB2312"/>
                <w:color w:val="000000" w:themeColor="text1"/>
                <w:sz w:val="28"/>
                <w:szCs w:val="28"/>
                <w14:textFill>
                  <w14:solidFill>
                    <w14:schemeClr w14:val="tx1"/>
                  </w14:solidFill>
                </w14:textFill>
              </w:rPr>
              <w:t>“苦水区”治理项目，历时十个月，</w:t>
            </w:r>
            <w:r>
              <w:rPr>
                <w:rFonts w:hint="eastAsia" w:ascii="仿宋_GB2312" w:hAnsi="宋体" w:eastAsia="仿宋_GB2312"/>
                <w:color w:val="000000" w:themeColor="text1"/>
                <w:sz w:val="28"/>
                <w:szCs w:val="28"/>
                <w14:textFill>
                  <w14:solidFill>
                    <w14:schemeClr w14:val="tx1"/>
                  </w14:solidFill>
                </w14:textFill>
              </w:rPr>
              <w:t>建设上下两个水库，</w:t>
            </w:r>
            <w:r>
              <w:rPr>
                <w:rFonts w:ascii="仿宋_GB2312" w:hAnsi="宋体" w:eastAsia="仿宋_GB2312"/>
                <w:color w:val="000000" w:themeColor="text1"/>
                <w:sz w:val="28"/>
                <w:szCs w:val="28"/>
                <w14:textFill>
                  <w14:solidFill>
                    <w14:schemeClr w14:val="tx1"/>
                  </w14:solidFill>
                </w14:textFill>
              </w:rPr>
              <w:t>成功引来黄河水，为周边2万余亩耕地解渴，使土壤盐碱环境得以改善。</w:t>
            </w:r>
          </w:p>
          <w:p w14:paraId="0B47AC9D">
            <w:pPr>
              <w:spacing w:line="360" w:lineRule="auto"/>
              <w:ind w:firstLine="532" w:firstLineChars="190"/>
              <w:rPr>
                <w:rFonts w:ascii="仿宋_GB2312" w:hAnsi="宋体" w:eastAsia="仿宋_GB2312"/>
                <w:color w:val="000000" w:themeColor="text1"/>
                <w:sz w:val="28"/>
                <w:szCs w:val="28"/>
                <w14:textFill>
                  <w14:solidFill>
                    <w14:schemeClr w14:val="tx1"/>
                  </w14:solidFill>
                </w14:textFill>
              </w:rPr>
            </w:pPr>
            <w:r>
              <w:rPr>
                <w:rFonts w:ascii="仿宋_GB2312" w:hAnsi="宋体" w:eastAsia="仿宋_GB2312"/>
                <w:color w:val="000000" w:themeColor="text1"/>
                <w:sz w:val="28"/>
                <w:szCs w:val="28"/>
                <w14:textFill>
                  <w14:solidFill>
                    <w14:schemeClr w14:val="tx1"/>
                  </w14:solidFill>
                </w14:textFill>
              </w:rPr>
              <w:t>许河</w:t>
            </w:r>
            <w:r>
              <w:rPr>
                <w:rFonts w:hint="eastAsia" w:ascii="仿宋_GB2312" w:hAnsi="宋体" w:eastAsia="仿宋_GB2312"/>
                <w:color w:val="000000" w:themeColor="text1"/>
                <w:sz w:val="28"/>
                <w:szCs w:val="28"/>
                <w14:textFill>
                  <w14:solidFill>
                    <w14:schemeClr w14:val="tx1"/>
                  </w14:solidFill>
                </w14:textFill>
              </w:rPr>
              <w:t>镇</w:t>
            </w:r>
            <w:r>
              <w:rPr>
                <w:rFonts w:ascii="仿宋_GB2312" w:hAnsi="宋体" w:eastAsia="仿宋_GB2312"/>
                <w:color w:val="000000" w:themeColor="text1"/>
                <w:sz w:val="28"/>
                <w:szCs w:val="28"/>
                <w14:textFill>
                  <w14:solidFill>
                    <w14:schemeClr w14:val="tx1"/>
                  </w14:solidFill>
                </w14:textFill>
              </w:rPr>
              <w:t>地处兰考县最东部，是河南、山东两省，兰考、曹县、民权三县的交界处，下辖24个行政村，总面积42.75平方千米。全</w:t>
            </w:r>
            <w:r>
              <w:rPr>
                <w:rFonts w:hint="eastAsia" w:ascii="仿宋_GB2312" w:hAnsi="宋体" w:eastAsia="仿宋_GB2312"/>
                <w:color w:val="000000" w:themeColor="text1"/>
                <w:sz w:val="28"/>
                <w:szCs w:val="28"/>
                <w14:textFill>
                  <w14:solidFill>
                    <w14:schemeClr w14:val="tx1"/>
                  </w14:solidFill>
                </w14:textFill>
              </w:rPr>
              <w:t>镇</w:t>
            </w:r>
            <w:r>
              <w:rPr>
                <w:rFonts w:ascii="仿宋_GB2312" w:hAnsi="宋体" w:eastAsia="仿宋_GB2312"/>
                <w:color w:val="000000" w:themeColor="text1"/>
                <w:sz w:val="28"/>
                <w:szCs w:val="28"/>
                <w14:textFill>
                  <w14:solidFill>
                    <w14:schemeClr w14:val="tx1"/>
                  </w14:solidFill>
                </w14:textFill>
              </w:rPr>
              <w:t>户籍人口为3.6万人，耕地3.8万亩</w:t>
            </w:r>
            <w:r>
              <w:rPr>
                <w:rFonts w:hint="eastAsia" w:ascii="仿宋_GB2312" w:hAnsi="宋体" w:eastAsia="仿宋_GB2312"/>
                <w:color w:val="000000" w:themeColor="text1"/>
                <w:sz w:val="28"/>
                <w:szCs w:val="28"/>
                <w14:textFill>
                  <w14:solidFill>
                    <w14:schemeClr w14:val="tx1"/>
                  </w14:solidFill>
                </w14:textFill>
              </w:rPr>
              <w:t>，</w:t>
            </w:r>
            <w:r>
              <w:rPr>
                <w:rFonts w:ascii="仿宋_GB2312" w:hAnsi="宋体" w:eastAsia="仿宋_GB2312"/>
                <w:color w:val="000000" w:themeColor="text1"/>
                <w:sz w:val="28"/>
                <w:szCs w:val="28"/>
                <w14:textFill>
                  <w14:solidFill>
                    <w14:schemeClr w14:val="tx1"/>
                  </w14:solidFill>
                </w14:textFill>
              </w:rPr>
              <w:t>地势南高、北低、中间洼，地质南沙北碱</w:t>
            </w:r>
            <w:r>
              <w:rPr>
                <w:rFonts w:hint="eastAsia" w:ascii="仿宋_GB2312" w:hAnsi="宋体" w:eastAsia="仿宋_GB2312"/>
                <w:color w:val="000000" w:themeColor="text1"/>
                <w:sz w:val="28"/>
                <w:szCs w:val="28"/>
                <w14:textFill>
                  <w14:solidFill>
                    <w14:schemeClr w14:val="tx1"/>
                  </w14:solidFill>
                </w14:textFill>
              </w:rPr>
              <w:t>。</w:t>
            </w:r>
          </w:p>
          <w:p w14:paraId="4FC9A976">
            <w:pPr>
              <w:spacing w:line="360" w:lineRule="auto"/>
              <w:ind w:firstLine="532" w:firstLineChars="190"/>
              <w:rPr>
                <w:rFonts w:ascii="仿宋_GB2312" w:hAnsi="宋体" w:eastAsia="仿宋_GB2312"/>
                <w:color w:val="000000" w:themeColor="text1"/>
                <w:sz w:val="28"/>
                <w:szCs w:val="28"/>
                <w14:textFill>
                  <w14:solidFill>
                    <w14:schemeClr w14:val="tx1"/>
                  </w14:solidFill>
                </w14:textFill>
              </w:rPr>
            </w:pPr>
            <w:r>
              <w:rPr>
                <w:rFonts w:ascii="仿宋_GB2312" w:hAnsi="宋体" w:eastAsia="仿宋_GB2312"/>
                <w:color w:val="000000" w:themeColor="text1"/>
                <w:sz w:val="28"/>
                <w:szCs w:val="28"/>
                <w14:textFill>
                  <w14:solidFill>
                    <w14:schemeClr w14:val="tx1"/>
                  </w14:solidFill>
                </w14:textFill>
              </w:rPr>
              <w:t>“苦水区”治理项目全部完工后，不仅可以在黄河调水调沙期间收集储蓄黄河水，更能在汛期收集天降水，真正起到旱能浇，涝能排的效果。同时，可以形成“一环、两库、三水廊”的生态布局，进一步改良周边土壤环境。</w:t>
            </w:r>
            <w:r>
              <w:rPr>
                <w:rFonts w:hint="eastAsia" w:ascii="仿宋_GB2312" w:hAnsi="宋体" w:eastAsia="仿宋_GB2312"/>
                <w:color w:val="000000" w:themeColor="text1"/>
                <w:sz w:val="28"/>
                <w:szCs w:val="28"/>
                <w14:textFill>
                  <w14:solidFill>
                    <w14:schemeClr w14:val="tx1"/>
                  </w14:solidFill>
                </w14:textFill>
              </w:rPr>
              <w:t>下一步，</w:t>
            </w:r>
            <w:r>
              <w:rPr>
                <w:rFonts w:ascii="仿宋_GB2312" w:hAnsi="宋体" w:eastAsia="仿宋_GB2312"/>
                <w:color w:val="000000" w:themeColor="text1"/>
                <w:sz w:val="28"/>
                <w:szCs w:val="28"/>
                <w14:textFill>
                  <w14:solidFill>
                    <w14:schemeClr w14:val="tx1"/>
                  </w14:solidFill>
                </w14:textFill>
              </w:rPr>
              <w:t>许河乡规划提升全域水网建设，实施兰考县盐碱地综合利用试点项目，努力把昔日低产田变为未来高产田。</w:t>
            </w:r>
            <w:r>
              <w:rPr>
                <w:rFonts w:hint="eastAsia" w:ascii="仿宋_GB2312" w:hAnsi="宋体" w:eastAsia="仿宋_GB2312"/>
                <w:color w:val="000000" w:themeColor="text1"/>
                <w:sz w:val="28"/>
                <w:szCs w:val="28"/>
                <w14:textFill>
                  <w14:solidFill>
                    <w14:schemeClr w14:val="tx1"/>
                  </w14:solidFill>
                </w14:textFill>
              </w:rPr>
              <w:t>现就如何进一步提升盐碱地综合治理，写好“苦水区”治理后半篇文章，扎实推进乡村全面振兴是亟需研究的课题。</w:t>
            </w:r>
          </w:p>
          <w:p w14:paraId="2659278F">
            <w:pPr>
              <w:spacing w:line="360" w:lineRule="auto"/>
              <w:ind w:firstLine="420"/>
              <w:rPr>
                <w:rFonts w:ascii="Times New Roman" w:hAnsi="Times New Roman"/>
                <w:color w:val="000000" w:themeColor="text1"/>
                <w14:textFill>
                  <w14:solidFill>
                    <w14:schemeClr w14:val="tx1"/>
                  </w14:solidFill>
                </w14:textFill>
              </w:rPr>
            </w:pPr>
          </w:p>
          <w:p w14:paraId="79645EC7">
            <w:pPr>
              <w:jc w:val="center"/>
              <w:rPr>
                <w:rFonts w:ascii="仿宋_GB2312" w:hAnsi="黑体" w:eastAsia="仿宋_GB2312" w:cs="黑体"/>
                <w:color w:val="000000" w:themeColor="text1"/>
                <w:sz w:val="28"/>
                <w:szCs w:val="28"/>
                <w14:textFill>
                  <w14:solidFill>
                    <w14:schemeClr w14:val="tx1"/>
                  </w14:solidFill>
                </w14:textFill>
              </w:rPr>
            </w:pPr>
            <w:r>
              <w:rPr>
                <w:color w:val="000000" w:themeColor="text1"/>
                <w14:textFill>
                  <w14:solidFill>
                    <w14:schemeClr w14:val="tx1"/>
                  </w14:solidFill>
                </w14:textFill>
              </w:rPr>
              <w:drawing>
                <wp:inline distT="0" distB="0" distL="114300" distR="114300">
                  <wp:extent cx="4189095" cy="3473450"/>
                  <wp:effectExtent l="0" t="0" r="1905" b="12700"/>
                  <wp:docPr id="4" name="图片 3" descr="2696c00ef78968e78a2d1d0b78f3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2696c00ef78968e78a2d1d0b78f3012"/>
                          <pic:cNvPicPr>
                            <a:picLocks noChangeAspect="1"/>
                          </pic:cNvPicPr>
                        </pic:nvPicPr>
                        <pic:blipFill>
                          <a:blip r:embed="rId7"/>
                          <a:srcRect l="24574" t="25658"/>
                          <a:stretch>
                            <a:fillRect/>
                          </a:stretch>
                        </pic:blipFill>
                        <pic:spPr>
                          <a:xfrm>
                            <a:off x="0" y="0"/>
                            <a:ext cx="4189095" cy="3473450"/>
                          </a:xfrm>
                          <a:prstGeom prst="rect">
                            <a:avLst/>
                          </a:prstGeom>
                        </pic:spPr>
                      </pic:pic>
                    </a:graphicData>
                  </a:graphic>
                </wp:inline>
              </w:drawing>
            </w:r>
          </w:p>
          <w:p w14:paraId="76D257C9">
            <w:pPr>
              <w:pStyle w:val="5"/>
              <w:jc w:val="center"/>
              <w:rPr>
                <w:rFonts w:ascii="仿宋_GB2312" w:hAnsi="黑体" w:eastAsia="仿宋_GB2312" w:cs="黑体"/>
                <w:color w:val="000000" w:themeColor="text1"/>
                <w:sz w:val="28"/>
                <w:szCs w:val="28"/>
                <w14:textFill>
                  <w14:solidFill>
                    <w14:schemeClr w14:val="tx1"/>
                  </w14:solidFill>
                </w14:textFill>
              </w:rPr>
            </w:pPr>
            <w:r>
              <w:rPr>
                <w:rFonts w:hint="eastAsia" w:ascii="仿宋_GB2312" w:hAnsi="黑体" w:eastAsia="仿宋_GB2312" w:cs="黑体"/>
                <w:color w:val="000000" w:themeColor="text1"/>
                <w:sz w:val="28"/>
                <w:szCs w:val="28"/>
                <w14:textFill>
                  <w14:solidFill>
                    <w14:schemeClr w14:val="tx1"/>
                  </w14:solidFill>
                </w14:textFill>
              </w:rPr>
              <w:t>图一：许河镇盐碱地综合利用试点项目</w:t>
            </w:r>
          </w:p>
          <w:p w14:paraId="2FECFB84">
            <w:pPr>
              <w:pStyle w:val="5"/>
              <w:jc w:val="center"/>
              <w:rPr>
                <w:color w:val="000000" w:themeColor="text1"/>
                <w14:textFill>
                  <w14:solidFill>
                    <w14:schemeClr w14:val="tx1"/>
                  </w14:solidFill>
                </w14:textFill>
              </w:rPr>
            </w:pPr>
            <w:r>
              <w:rPr>
                <w:rFonts w:hint="eastAsia" w:ascii="仿宋_GB2312" w:hAnsi="黑体" w:eastAsia="仿宋_GB2312" w:cs="黑体"/>
                <w:color w:val="000000" w:themeColor="text1"/>
                <w:sz w:val="28"/>
                <w:szCs w:val="28"/>
                <w14:textFill>
                  <w14:solidFill>
                    <w14:schemeClr w14:val="tx1"/>
                  </w14:solidFill>
                </w14:textFill>
              </w:rPr>
              <w:t>工程布局图（局部）</w:t>
            </w:r>
          </w:p>
          <w:p w14:paraId="62E93FE5">
            <w:pPr>
              <w:pStyle w:val="6"/>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drawing>
                <wp:inline distT="0" distB="0" distL="114300" distR="114300">
                  <wp:extent cx="3359150" cy="5238115"/>
                  <wp:effectExtent l="0" t="0" r="12700" b="635"/>
                  <wp:docPr id="3" name="图片 3" descr="94b223ae2429658185a084777a84a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94b223ae2429658185a084777a84a71"/>
                          <pic:cNvPicPr>
                            <a:picLocks noChangeAspect="1"/>
                          </pic:cNvPicPr>
                        </pic:nvPicPr>
                        <pic:blipFill>
                          <a:blip r:embed="rId8"/>
                          <a:stretch>
                            <a:fillRect/>
                          </a:stretch>
                        </pic:blipFill>
                        <pic:spPr>
                          <a:xfrm>
                            <a:off x="0" y="0"/>
                            <a:ext cx="3359150" cy="5238115"/>
                          </a:xfrm>
                          <a:prstGeom prst="rect">
                            <a:avLst/>
                          </a:prstGeom>
                        </pic:spPr>
                      </pic:pic>
                    </a:graphicData>
                  </a:graphic>
                </wp:inline>
              </w:drawing>
            </w:r>
          </w:p>
          <w:p w14:paraId="0A860FF1">
            <w:pPr>
              <w:jc w:val="center"/>
              <w:rPr>
                <w:color w:val="000000" w:themeColor="text1"/>
                <w14:textFill>
                  <w14:solidFill>
                    <w14:schemeClr w14:val="tx1"/>
                  </w14:solidFill>
                </w14:textFill>
              </w:rPr>
            </w:pPr>
            <w:r>
              <w:rPr>
                <w:rFonts w:hint="eastAsia" w:ascii="仿宋_GB2312" w:hAnsi="黑体" w:eastAsia="仿宋_GB2312" w:cs="黑体"/>
                <w:color w:val="000000" w:themeColor="text1"/>
                <w:sz w:val="28"/>
                <w:szCs w:val="28"/>
                <w14:textFill>
                  <w14:solidFill>
                    <w14:schemeClr w14:val="tx1"/>
                  </w14:solidFill>
                </w14:textFill>
              </w:rPr>
              <w:t>图二：兰考县东部苦水区治理项目规划图</w:t>
            </w:r>
          </w:p>
        </w:tc>
      </w:tr>
      <w:tr w14:paraId="1265E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3A2F2C6A">
            <w:pPr>
              <w:pStyle w:val="11"/>
              <w:numPr>
                <w:ilvl w:val="0"/>
                <w:numId w:val="0"/>
              </w:numPr>
              <w:spacing w:line="360" w:lineRule="auto"/>
              <w:ind w:leftChars="0" w:firstLine="562" w:firstLineChars="200"/>
              <w:jc w:val="both"/>
              <w:rPr>
                <w:rFonts w:ascii="仿宋_GB2312" w:hAnsi="Times New Roman" w:eastAsia="仿宋_GB2312"/>
                <w:b/>
                <w:bCs/>
                <w:color w:val="000000" w:themeColor="text1"/>
                <w:sz w:val="28"/>
                <w:szCs w:val="28"/>
                <w14:textFill>
                  <w14:solidFill>
                    <w14:schemeClr w14:val="tx1"/>
                  </w14:solidFill>
                </w14:textFill>
              </w:rPr>
            </w:pPr>
            <w:r>
              <w:rPr>
                <w:rFonts w:hint="eastAsia" w:ascii="仿宋_GB2312" w:hAnsi="Times New Roman" w:eastAsia="仿宋_GB2312"/>
                <w:b/>
                <w:bCs/>
                <w:color w:val="000000" w:themeColor="text1"/>
                <w:sz w:val="28"/>
                <w:szCs w:val="28"/>
                <w:lang w:val="en-US" w:eastAsia="zh-CN"/>
                <w14:textFill>
                  <w14:solidFill>
                    <w14:schemeClr w14:val="tx1"/>
                  </w14:solidFill>
                </w14:textFill>
              </w:rPr>
              <w:t>2.</w:t>
            </w:r>
            <w:r>
              <w:rPr>
                <w:rFonts w:hint="eastAsia" w:ascii="仿宋_GB2312" w:hAnsi="Times New Roman" w:eastAsia="仿宋_GB2312"/>
                <w:b/>
                <w:bCs/>
                <w:color w:val="000000" w:themeColor="text1"/>
                <w:sz w:val="28"/>
                <w:szCs w:val="28"/>
                <w14:textFill>
                  <w14:solidFill>
                    <w14:schemeClr w14:val="tx1"/>
                  </w14:solidFill>
                </w14:textFill>
              </w:rPr>
              <w:t>设计要求</w:t>
            </w:r>
          </w:p>
          <w:p w14:paraId="30E0C8DC">
            <w:pPr>
              <w:spacing w:line="360" w:lineRule="auto"/>
              <w:ind w:firstLine="532" w:firstLineChars="190"/>
              <w:rPr>
                <w:rFonts w:ascii="仿宋_GB2312" w:hAnsi="宋体" w:eastAsia="仿宋_GB2312"/>
                <w:sz w:val="28"/>
                <w:szCs w:val="28"/>
              </w:rPr>
            </w:pPr>
            <w:r>
              <w:rPr>
                <w:rFonts w:hint="eastAsia" w:ascii="仿宋_GB2312" w:hAnsi="宋体" w:eastAsia="仿宋_GB2312"/>
                <w:sz w:val="28"/>
                <w:szCs w:val="28"/>
              </w:rPr>
              <w:t>结合许河镇提升盐碱地综合治理能力，写好“苦水区”治理的后半篇文章建设需求，在深入分析镇、村两级产业发展规划的基础上，充分挖掘当地优势产业、文旅、种植资源，提出“苦水区”文旅研学、配套产业发展、盐碱地持续治理的规划与设计方案，以期解决建设过程中出现的“技术难、资金难、管护难”等问题。</w:t>
            </w:r>
          </w:p>
          <w:p w14:paraId="0C87553E">
            <w:pPr>
              <w:spacing w:line="360" w:lineRule="auto"/>
              <w:ind w:firstLine="532" w:firstLineChars="190"/>
              <w:rPr>
                <w:rFonts w:ascii="仿宋_GB2312" w:hAnsi="宋体" w:eastAsia="仿宋_GB2312"/>
                <w:sz w:val="28"/>
                <w:szCs w:val="28"/>
              </w:rPr>
            </w:pPr>
            <w:r>
              <w:rPr>
                <w:rFonts w:hint="eastAsia" w:ascii="仿宋_GB2312" w:hAnsi="宋体" w:eastAsia="仿宋_GB2312"/>
                <w:sz w:val="28"/>
                <w:szCs w:val="28"/>
              </w:rPr>
              <w:t>该方案可以在宏观层面提出“苦水区”辐射村级范围内“农、商、文、旅”产业发展规划，也可以在微观层面聚集盐碱地综合改良治理科普活动策划、“兰考县东部苦水区展览馆”更新设计、“苦水区”周边绿化、环道路线、休闲区域设计、文旅研学路线规划设计、村内环境改造提升、景观小品设计、文创周边品宣等小切口，植入“综合发展”理念，落实“盐碱地持续治理，写好苦水区下半篇文章”的目标。建议多学科团队参加竞赛，由农学类、环境类、建筑类、艺术类等多个专业领域的学生组成。</w:t>
            </w:r>
          </w:p>
          <w:p w14:paraId="37F5FD3B">
            <w:pPr>
              <w:spacing w:line="360" w:lineRule="auto"/>
              <w:ind w:firstLine="532" w:firstLineChars="190"/>
              <w:rPr>
                <w:rFonts w:ascii="仿宋_GB2312" w:hAnsi="宋体" w:eastAsia="仿宋_GB2312"/>
                <w:sz w:val="28"/>
                <w:szCs w:val="28"/>
              </w:rPr>
            </w:pPr>
            <w:r>
              <w:rPr>
                <w:rFonts w:hint="eastAsia" w:ascii="仿宋_GB2312" w:hAnsi="宋体" w:eastAsia="仿宋_GB2312"/>
                <w:sz w:val="28"/>
                <w:szCs w:val="28"/>
              </w:rPr>
              <w:t>设计方案需要包含调查研究报告、技术研究报告、系统规划设计图和预期目标。</w:t>
            </w:r>
          </w:p>
          <w:p w14:paraId="04F189C0">
            <w:pPr>
              <w:spacing w:line="360" w:lineRule="auto"/>
              <w:ind w:firstLine="480"/>
            </w:pPr>
          </w:p>
          <w:p w14:paraId="12EE60F7">
            <w:pPr>
              <w:spacing w:line="360" w:lineRule="auto"/>
              <w:ind w:firstLine="532" w:firstLineChars="190"/>
              <w:rPr>
                <w:rFonts w:ascii="仿宋_GB2312" w:hAnsi="宋体" w:eastAsia="仿宋_GB2312"/>
                <w:color w:val="FF0000"/>
                <w:sz w:val="28"/>
                <w:szCs w:val="28"/>
              </w:rPr>
            </w:pPr>
          </w:p>
        </w:tc>
      </w:tr>
      <w:tr w14:paraId="3C2E2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1A4D8844">
            <w:pPr>
              <w:spacing w:line="360" w:lineRule="auto"/>
              <w:rPr>
                <w:rFonts w:ascii="仿宋_GB2312" w:hAnsi="宋体" w:eastAsia="仿宋_GB2312"/>
                <w:bCs/>
                <w:sz w:val="28"/>
                <w:szCs w:val="28"/>
              </w:rPr>
            </w:pPr>
            <w:r>
              <w:rPr>
                <w:rFonts w:hint="eastAsia" w:ascii="仿宋_GB2312" w:hAnsi="宋体" w:eastAsia="仿宋_GB2312"/>
                <w:bCs/>
                <w:sz w:val="28"/>
                <w:szCs w:val="28"/>
              </w:rPr>
              <w:t>联系人：陈佳豪            联系电话：15937855568</w:t>
            </w:r>
          </w:p>
        </w:tc>
      </w:tr>
    </w:tbl>
    <w:p w14:paraId="2767430F">
      <w:pPr>
        <w:jc w:val="left"/>
        <w:rPr>
          <w:rFonts w:hint="default"/>
          <w:sz w:val="21"/>
          <w:szCs w:val="24"/>
        </w:rPr>
      </w:pPr>
    </w:p>
    <w:sectPr>
      <w:pgSz w:w="12240" w:h="15840"/>
      <w:pgMar w:top="1440" w:right="1800" w:bottom="1440" w:left="1800" w:header="720" w:footer="720" w:gutter="0"/>
      <w:lnNumType w:countBy="0" w:distance="36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A6DDBE5-A1AB-4AD7-9E53-491ACCCA0F7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embedRegular r:id="rId2" w:fontKey="{BCB6E4EA-F8E2-485E-98F6-B05EC33D1C4E}"/>
  </w:font>
  <w:font w:name="方正公文小标宋">
    <w:panose1 w:val="02000500000000000000"/>
    <w:charset w:val="86"/>
    <w:family w:val="auto"/>
    <w:pitch w:val="default"/>
    <w:sig w:usb0="A00002BF" w:usb1="38CF7CFA" w:usb2="00000016" w:usb3="00000000" w:csb0="00040001" w:csb1="00000000"/>
    <w:embedRegular r:id="rId3" w:fontKey="{4DAE7E86-1B66-4ECE-9AF3-C38EFE37979F}"/>
  </w:font>
  <w:font w:name="仿宋_GB2312">
    <w:panose1 w:val="02010609030101010101"/>
    <w:charset w:val="86"/>
    <w:family w:val="modern"/>
    <w:pitch w:val="default"/>
    <w:sig w:usb0="00000001" w:usb1="080E0000" w:usb2="00000000" w:usb3="00000000" w:csb0="00040000" w:csb1="00000000"/>
    <w:embedRegular r:id="rId4" w:fontKey="{76724920-E4CA-4900-8B90-068DC810A9C0}"/>
  </w:font>
  <w:font w:name="方正仿宋_GB2312">
    <w:altName w:val="仿宋"/>
    <w:panose1 w:val="00000000000000000000"/>
    <w:charset w:val="86"/>
    <w:family w:val="auto"/>
    <w:pitch w:val="default"/>
    <w:sig w:usb0="00000000" w:usb1="00000000" w:usb2="00000000" w:usb3="00000000" w:csb0="00040000" w:csb1="00000000"/>
    <w:embedRegular r:id="rId5" w:fontKey="{23B219F6-C350-43F9-9B98-870BE2CCD6B5}"/>
  </w:font>
  <w:font w:name="仿宋">
    <w:panose1 w:val="02010609060101010101"/>
    <w:charset w:val="86"/>
    <w:family w:val="auto"/>
    <w:pitch w:val="default"/>
    <w:sig w:usb0="800002BF" w:usb1="38CF7CFA" w:usb2="00000016" w:usb3="00000000" w:csb0="00040001" w:csb1="00000000"/>
  </w:font>
  <w:font w:name="Adobe 仿宋 Std R">
    <w:altName w:val="仿宋"/>
    <w:panose1 w:val="02020400000000000000"/>
    <w:charset w:val="86"/>
    <w:family w:val="roman"/>
    <w:pitch w:val="default"/>
    <w:sig w:usb0="00000000" w:usb1="00000000" w:usb2="00000000" w:usb3="00000000" w:csb0="00040000" w:csb1="00000000"/>
    <w:embedRegular r:id="rId6" w:fontKey="{679E870C-A9EF-446D-AE3E-A897DFE4DB76}"/>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16A56D8F"/>
    <w:multiLevelType w:val="multilevel"/>
    <w:tmpl w:val="16A56D8F"/>
    <w:lvl w:ilvl="0" w:tentative="0">
      <w:start w:val="1"/>
      <w:numFmt w:val="decimal"/>
      <w:lvlText w:val="%1."/>
      <w:lvlJc w:val="left"/>
      <w:pPr>
        <w:ind w:left="360" w:hanging="360"/>
      </w:pPr>
      <w:rPr>
        <w:rFonts w:hint="default"/>
        <w:u w:val="none" w:color="auto"/>
      </w:rPr>
    </w:lvl>
    <w:lvl w:ilvl="1" w:tentative="0">
      <w:start w:val="1"/>
      <w:numFmt w:val="lowerLetter"/>
      <w:lvlText w:val="%2)"/>
      <w:lvlJc w:val="left"/>
      <w:pPr>
        <w:ind w:left="880" w:hanging="440"/>
      </w:pPr>
      <w:rPr>
        <w:rFonts w:hint="default"/>
        <w:u w:val="none" w:color="auto"/>
      </w:rPr>
    </w:lvl>
    <w:lvl w:ilvl="2" w:tentative="0">
      <w:start w:val="1"/>
      <w:numFmt w:val="lowerRoman"/>
      <w:lvlText w:val="%3."/>
      <w:lvlJc w:val="right"/>
      <w:pPr>
        <w:ind w:left="1320" w:hanging="440"/>
      </w:pPr>
      <w:rPr>
        <w:rFonts w:hint="default"/>
        <w:u w:val="none" w:color="auto"/>
      </w:rPr>
    </w:lvl>
    <w:lvl w:ilvl="3" w:tentative="0">
      <w:start w:val="1"/>
      <w:numFmt w:val="decimal"/>
      <w:lvlText w:val="%4."/>
      <w:lvlJc w:val="left"/>
      <w:pPr>
        <w:ind w:left="1760" w:hanging="440"/>
      </w:pPr>
      <w:rPr>
        <w:rFonts w:hint="default"/>
        <w:u w:val="none" w:color="auto"/>
      </w:rPr>
    </w:lvl>
    <w:lvl w:ilvl="4" w:tentative="0">
      <w:start w:val="1"/>
      <w:numFmt w:val="lowerLetter"/>
      <w:lvlText w:val="%5)"/>
      <w:lvlJc w:val="left"/>
      <w:pPr>
        <w:ind w:left="2200" w:hanging="440"/>
      </w:pPr>
      <w:rPr>
        <w:rFonts w:hint="default"/>
        <w:u w:val="none" w:color="auto"/>
      </w:rPr>
    </w:lvl>
    <w:lvl w:ilvl="5" w:tentative="0">
      <w:start w:val="1"/>
      <w:numFmt w:val="lowerRoman"/>
      <w:lvlText w:val="%6."/>
      <w:lvlJc w:val="right"/>
      <w:pPr>
        <w:ind w:left="2640" w:hanging="440"/>
      </w:pPr>
      <w:rPr>
        <w:rFonts w:hint="default"/>
        <w:u w:val="none" w:color="auto"/>
      </w:rPr>
    </w:lvl>
    <w:lvl w:ilvl="6" w:tentative="0">
      <w:start w:val="1"/>
      <w:numFmt w:val="decimal"/>
      <w:lvlText w:val="%7."/>
      <w:lvlJc w:val="left"/>
      <w:pPr>
        <w:ind w:left="3080" w:hanging="440"/>
      </w:pPr>
      <w:rPr>
        <w:rFonts w:hint="default"/>
        <w:u w:val="none" w:color="auto"/>
      </w:rPr>
    </w:lvl>
    <w:lvl w:ilvl="7" w:tentative="0">
      <w:start w:val="1"/>
      <w:numFmt w:val="lowerLetter"/>
      <w:lvlText w:val="%8)"/>
      <w:lvlJc w:val="left"/>
      <w:pPr>
        <w:ind w:left="3520" w:hanging="440"/>
      </w:pPr>
      <w:rPr>
        <w:rFonts w:hint="default"/>
        <w:u w:val="none" w:color="auto"/>
      </w:rPr>
    </w:lvl>
    <w:lvl w:ilvl="8" w:tentative="0">
      <w:start w:val="1"/>
      <w:numFmt w:val="lowerRoman"/>
      <w:lvlText w:val="%9."/>
      <w:lvlJc w:val="right"/>
      <w:pPr>
        <w:ind w:left="3960" w:hanging="440"/>
      </w:pPr>
      <w:rPr>
        <w:rFonts w:hint="default"/>
        <w:u w:val="none" w:color="auto"/>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HorizontalSpacing w:val="120"/>
  <w:drawingGridVerticalSpacing w:val="120"/>
  <w:displayHorizontalDrawingGridEvery w:val="3"/>
  <w:displayVerticalDrawingGridEvery w:val="3"/>
  <w:doNotUseMarginsForDrawingGridOrigin w:val="1"/>
  <w:drawingGridHorizontalOrigin w:val="1701"/>
  <w:drawingGridVerticalOrigin w:val="1984"/>
  <w:doNotShadeFormData w:val="1"/>
  <w:characterSpacingControl w:val="compressPunctuation"/>
  <w:doNotValidateAgainstSchema/>
  <w:doNotDemarcateInvalidXml/>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0NTEzZmFiYTJlZDNlYTJlZDI0NjgyZDY0OTM1MWMifQ=="/>
  </w:docVars>
  <w:rsids>
    <w:rsidRoot w:val="00172A27"/>
    <w:rsid w:val="11DF131B"/>
    <w:rsid w:val="1CB304A3"/>
    <w:rsid w:val="225B7BFE"/>
    <w:rsid w:val="236B356D"/>
    <w:rsid w:val="23825FAA"/>
    <w:rsid w:val="419E1DAA"/>
    <w:rsid w:val="44E84CF1"/>
    <w:rsid w:val="492F1ACD"/>
    <w:rsid w:val="4B334AEF"/>
    <w:rsid w:val="4B7A73E4"/>
    <w:rsid w:val="4BBD5522"/>
    <w:rsid w:val="4E0B07C7"/>
    <w:rsid w:val="545D188F"/>
    <w:rsid w:val="5BB26726"/>
    <w:rsid w:val="5C403D31"/>
    <w:rsid w:val="674D6CC2"/>
    <w:rsid w:val="69893B0A"/>
    <w:rsid w:val="70CF1640"/>
    <w:rsid w:val="72D60AF4"/>
    <w:rsid w:val="794E797F"/>
    <w:rsid w:val="7A2110BA"/>
    <w:rsid w:val="7D1A224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iPriority="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semiHidden="0" w:name="index 1"/>
    <w:lsdException w:qFormat="1" w:unhideWhenUsed="0" w:uiPriority="99" w:semiHidden="0" w:name="index 2"/>
    <w:lsdException w:qFormat="1" w:unhideWhenUsed="0" w:uiPriority="99" w:semiHidden="0" w:name="index 3"/>
    <w:lsdException w:qFormat="1" w:unhideWhenUsed="0" w:uiPriority="99"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qFormat="1" w:unhideWhenUsed="0" w:uiPriority="99" w:semiHidden="0" w:name="toc 1"/>
    <w:lsdException w:qFormat="1" w:uiPriority="0"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99" w:semiHidden="0" w:name="index heading"/>
    <w:lsdException w:qFormat="1" w:unhideWhenUsed="0" w:uiPriority="99" w:semiHidden="0" w:name="caption"/>
    <w:lsdException w:qFormat="1" w:unhideWhenUsed="0" w:uiPriority="99" w:semiHidden="0" w:name="table of figures"/>
    <w:lsdException w:qFormat="1" w:unhideWhenUsed="0" w:uiPriority="99" w:semiHidden="0" w:name="envelope address"/>
    <w:lsdException w:qFormat="1" w:unhideWhenUsed="0" w:uiPriority="99" w:semiHidden="0" w:name="envelope return"/>
    <w:lsdException w:qFormat="1" w:unhideWhenUsed="0" w:uiPriority="99" w:semiHidden="0" w:name="footnote reference"/>
    <w:lsdException w:qFormat="1" w:unhideWhenUsed="0" w:uiPriority="99" w:semiHidden="0" w:name="annotation reference"/>
    <w:lsdException w:qFormat="1" w:unhideWhenUsed="0" w:uiPriority="99" w:semiHidden="0" w:name="line number"/>
    <w:lsdException w:qFormat="1" w:unhideWhenUsed="0" w:uiPriority="99" w:semiHidden="0" w:name="page number"/>
    <w:lsdException w:qFormat="1" w:unhideWhenUsed="0" w:uiPriority="99" w:semiHidden="0" w:name="endnote reference"/>
    <w:lsdException w:qFormat="1" w:unhideWhenUsed="0" w:uiPriority="99" w:semiHidden="0" w:name="endnote text"/>
    <w:lsdException w:qFormat="1" w:unhideWhenUsed="0" w:uiPriority="99" w:semiHidden="0" w:name="table of authorities"/>
    <w:lsdException w:qFormat="1" w:unhideWhenUsed="0" w:uiPriority="99" w:semiHidden="0" w:name="macro"/>
    <w:lsdException w:qFormat="1" w:unhideWhenUsed="0" w:uiPriority="99" w:semiHidden="0" w:name="toa heading"/>
    <w:lsdException w:qFormat="1" w:unhideWhenUsed="0" w:uiPriority="99" w:semiHidden="0" w:name="List"/>
    <w:lsdException w:qFormat="1" w:unhideWhenUsed="0" w:uiPriority="99" w:semiHidden="0" w:name="List Bullet"/>
    <w:lsdException w:qFormat="1" w:unhideWhenUsed="0" w:uiPriority="99" w:semiHidden="0" w:name="List Number"/>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qFormat="1" w:unhideWhenUsed="0" w:uiPriority="99" w:semiHidden="0" w:name="List Bullet 2"/>
    <w:lsdException w:qFormat="1" w:unhideWhenUsed="0" w:uiPriority="99" w:semiHidden="0" w:name="List Bullet 3"/>
    <w:lsdException w:qFormat="1" w:unhideWhenUsed="0" w:uiPriority="99" w:semiHidden="0" w:name="List Bullet 4"/>
    <w:lsdException w:qFormat="1" w:unhideWhenUsed="0" w:uiPriority="99" w:semiHidden="0" w:name="List Bullet 5"/>
    <w:lsdException w:qFormat="1" w:unhideWhenUsed="0" w:uiPriority="99" w:semiHidden="0" w:name="List Number 2"/>
    <w:lsdException w:qFormat="1" w:unhideWhenUsed="0" w:uiPriority="99" w:semiHidden="0" w:name="List Number 3"/>
    <w:lsdException w:qFormat="1" w:unhideWhenUsed="0" w:uiPriority="99" w:semiHidden="0" w:name="List Number 4"/>
    <w:lsdException w:qFormat="1" w:unhideWhenUsed="0" w:uiPriority="99" w:semiHidden="0" w:name="List Number 5"/>
    <w:lsdException w:qFormat="1" w:unhideWhenUsed="0" w:uiPriority="99" w:semiHidden="0" w:name="Title"/>
    <w:lsdException w:qFormat="1" w:unhideWhenUsed="0" w:uiPriority="99" w:semiHidden="0" w:name="Closing"/>
    <w:lsdException w:qFormat="1" w:unhideWhenUsed="0" w:uiPriority="99" w:semiHidden="0" w:name="Signature"/>
    <w:lsdException w:qFormat="1" w:uiPriority="99" w:semiHidden="0" w:name="Default Paragraph Font"/>
    <w:lsdException w:qFormat="1" w:unhideWhenUsed="0" w:uiPriority="0" w:semiHidden="0" w:name="Body Text"/>
    <w:lsdException w:qFormat="1" w:unhideWhenUsed="0" w:uiPriority="99" w:semiHidden="0"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qFormat="1" w:unhideWhenUsed="0" w:uiPriority="99" w:semiHidden="0" w:name="List Continue 4"/>
    <w:lsdException w:qFormat="1" w:unhideWhenUsed="0" w:uiPriority="99" w:semiHidden="0" w:name="List Continue 5"/>
    <w:lsdException w:qFormat="1" w:unhideWhenUsed="0" w:uiPriority="99" w:semiHidden="0" w:name="Message Header"/>
    <w:lsdException w:qFormat="1" w:unhideWhenUsed="0" w:uiPriority="99" w:semiHidden="0" w:name="Subtitle"/>
    <w:lsdException w:qFormat="1" w:unhideWhenUsed="0" w:uiPriority="99"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qFormat="1" w:unhideWhenUsed="0" w:uiPriority="99" w:semiHidden="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iPriority="0" w:semiHidden="0" w:name="Plain Text"/>
    <w:lsdException w:qFormat="1" w:unhideWhenUsed="0" w:uiPriority="99" w:semiHidden="0" w:name="E-mail Signature"/>
    <w:lsdException w:qFormat="1" w:uiPriority="0" w:semiHidden="0" w:name="Normal (Web)"/>
    <w:lsdException w:qFormat="1" w:unhideWhenUsed="0" w:uiPriority="99" w:semiHidden="0" w:name="HTML Acronym"/>
    <w:lsdException w:qFormat="1" w:unhideWhenUsed="0" w:uiPriority="99" w:semiHidden="0"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nhideWhenUsed="0" w:uiPriority="0" w:semiHidden="0" w:name="Normal Table"/>
    <w:lsdException w:qFormat="1" w:unhideWhenUsed="0" w:uiPriority="99" w:semiHidden="0" w:name="annotation subject"/>
    <w:lsdException w:qFormat="1" w:unhideWhenUsed="0" w:uiPriority="99" w:semiHidden="0" w:name="Table Simple 1"/>
    <w:lsdException w:qFormat="1" w:unhideWhenUsed="0" w:uiPriority="99" w:semiHidden="0" w:name="Table Simple 2"/>
    <w:lsdException w:qFormat="1" w:unhideWhenUsed="0" w:uiPriority="99" w:semiHidden="0" w:name="Table Simple 3"/>
    <w:lsdException w:qFormat="1" w:unhideWhenUsed="0" w:uiPriority="99" w:semiHidden="0" w:name="Table Classic 1"/>
    <w:lsdException w:qFormat="1" w:unhideWhenUsed="0" w:uiPriority="99" w:semiHidden="0" w:name="Table Classic 2"/>
    <w:lsdException w:qFormat="1" w:unhideWhenUsed="0" w:uiPriority="99" w:semiHidden="0" w:name="Table Classic 3"/>
    <w:lsdException w:qFormat="1" w:unhideWhenUsed="0" w:uiPriority="99" w:semiHidden="0" w:name="Table Classic 4"/>
    <w:lsdException w:qFormat="1" w:unhideWhenUsed="0" w:uiPriority="99" w:semiHidden="0" w:name="Table Colorful 1"/>
    <w:lsdException w:qFormat="1" w:unhideWhenUsed="0" w:uiPriority="99" w:semiHidden="0" w:name="Table Colorful 2"/>
    <w:lsdException w:qFormat="1" w:unhideWhenUsed="0" w:uiPriority="99" w:semiHidden="0" w:name="Table Colorful 3"/>
    <w:lsdException w:qFormat="1" w:unhideWhenUsed="0" w:uiPriority="99" w:semiHidden="0" w:name="Table Columns 1"/>
    <w:lsdException w:qFormat="1" w:unhideWhenUsed="0" w:uiPriority="99" w:semiHidden="0" w:name="Table Columns 2"/>
    <w:lsdException w:qFormat="1" w:unhideWhenUsed="0" w:uiPriority="99" w:semiHidden="0" w:name="Table Columns 3"/>
    <w:lsdException w:qFormat="1" w:unhideWhenUsed="0" w:uiPriority="99" w:semiHidden="0" w:name="Table Columns 4"/>
    <w:lsdException w:qFormat="1" w:unhideWhenUsed="0" w:uiPriority="99" w:semiHidden="0" w:name="Table Columns 5"/>
    <w:lsdException w:qFormat="1" w:unhideWhenUsed="0" w:uiPriority="99" w:semiHidden="0" w:name="Table Grid 1"/>
    <w:lsdException w:qFormat="1" w:unhideWhenUsed="0" w:uiPriority="99" w:semiHidden="0" w:name="Table Grid 2"/>
    <w:lsdException w:qFormat="1" w:unhideWhenUsed="0" w:uiPriority="99" w:semiHidden="0" w:name="Table Grid 3"/>
    <w:lsdException w:qFormat="1" w:unhideWhenUsed="0" w:uiPriority="99" w:semiHidden="0" w:name="Table Grid 4"/>
    <w:lsdException w:qFormat="1" w:unhideWhenUsed="0" w:uiPriority="99" w:semiHidden="0" w:name="Table Grid 5"/>
    <w:lsdException w:qFormat="1" w:unhideWhenUsed="0" w:uiPriority="99" w:semiHidden="0" w:name="Table Grid 6"/>
    <w:lsdException w:qFormat="1" w:unhideWhenUsed="0" w:uiPriority="99" w:semiHidden="0" w:name="Table Grid 7"/>
    <w:lsdException w:qFormat="1" w:unhideWhenUsed="0" w:uiPriority="99" w:semiHidden="0" w:name="Table Grid 8"/>
    <w:lsdException w:qFormat="1" w:unhideWhenUsed="0" w:uiPriority="99" w:semiHidden="0" w:name="Table List 1"/>
    <w:lsdException w:qFormat="1" w:unhideWhenUsed="0" w:uiPriority="99" w:semiHidden="0" w:name="Table List 2"/>
    <w:lsdException w:qFormat="1" w:unhideWhenUsed="0" w:uiPriority="99" w:semiHidden="0" w:name="Table List 3"/>
    <w:lsdException w:qFormat="1" w:unhideWhenUsed="0" w:uiPriority="99" w:semiHidden="0" w:name="Table List 4"/>
    <w:lsdException w:qFormat="1" w:unhideWhenUsed="0" w:uiPriority="99" w:semiHidden="0" w:name="Table List 5"/>
    <w:lsdException w:qFormat="1" w:unhideWhenUsed="0" w:uiPriority="99" w:semiHidden="0" w:name="Table List 6"/>
    <w:lsdException w:qFormat="1" w:unhideWhenUsed="0" w:uiPriority="99" w:semiHidden="0" w:name="Table List 7"/>
    <w:lsdException w:qFormat="1" w:unhideWhenUsed="0" w:uiPriority="99" w:semiHidden="0" w:name="Table List 8"/>
    <w:lsdException w:qFormat="1" w:unhideWhenUsed="0" w:uiPriority="99" w:semiHidden="0" w:name="Table 3D effects 1"/>
    <w:lsdException w:qFormat="1" w:unhideWhenUsed="0" w:uiPriority="99" w:semiHidden="0" w:name="Table 3D effects 2"/>
    <w:lsdException w:qFormat="1" w:unhideWhenUsed="0" w:uiPriority="99" w:semiHidden="0" w:name="Table 3D effects 3"/>
    <w:lsdException w:qFormat="1" w:unhideWhenUsed="0" w:uiPriority="99" w:semiHidden="0" w:name="Table Contemporary"/>
    <w:lsdException w:qFormat="1" w:unhideWhenUsed="0" w:uiPriority="99" w:semiHidden="0" w:name="Table Elegant"/>
    <w:lsdException w:qFormat="1" w:unhideWhenUsed="0" w:uiPriority="99" w:semiHidden="0" w:name="Table Professional"/>
    <w:lsdException w:qFormat="1" w:unhideWhenUsed="0" w:uiPriority="99" w:semiHidden="0" w:name="Table Subtle 1"/>
    <w:lsdException w:qFormat="1" w:unhideWhenUsed="0" w:uiPriority="99" w:semiHidden="0" w:name="Table Subtle 2"/>
    <w:lsdException w:qFormat="1" w:unhideWhenUsed="0" w:uiPriority="99" w:semiHidden="0" w:name="Table Web 1"/>
    <w:lsdException w:qFormat="1" w:unhideWhenUsed="0" w:uiPriority="99" w:semiHidden="0" w:name="Table Web 2"/>
    <w:lsdException w:qFormat="1" w:unhideWhenUsed="0" w:uiPriority="99" w:semiHidden="0" w:name="Table Web 3"/>
    <w:lsdException w:qFormat="1" w:unhideWhenUsed="0" w:uiPriority="99" w:semiHidden="0" w:name="Balloon Text"/>
    <w:lsdException w:qFormat="1" w:unhideWhenUsed="0" w:uiPriority="39" w:semiHidden="0" w:name="Table Grid"/>
    <w:lsdException w:qFormat="1"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spacing w:beforeLines="0" w:afterLines="0"/>
      <w:jc w:val="both"/>
    </w:pPr>
    <w:rPr>
      <w:rFonts w:hint="default" w:ascii="Times New Roman" w:hAnsi="Times New Roman" w:eastAsia="宋体" w:cs="Times New Roman"/>
      <w:kern w:val="2"/>
      <w:sz w:val="21"/>
      <w:szCs w:val="24"/>
    </w:rPr>
  </w:style>
  <w:style w:type="paragraph" w:styleId="4">
    <w:name w:val="heading 1"/>
    <w:basedOn w:val="1"/>
    <w:next w:val="1"/>
    <w:unhideWhenUsed/>
    <w:qFormat/>
    <w:uiPriority w:val="9"/>
    <w:pPr>
      <w:keepNext/>
      <w:keepLines/>
      <w:spacing w:beforeLines="0" w:afterLines="0"/>
      <w:outlineLvl w:val="0"/>
    </w:pPr>
    <w:rPr>
      <w:rFonts w:hint="default"/>
      <w:b/>
      <w:kern w:val="44"/>
      <w:sz w:val="24"/>
      <w:szCs w:val="24"/>
    </w:rPr>
  </w:style>
  <w:style w:type="character" w:default="1" w:styleId="9">
    <w:name w:val="Default Paragraph Font"/>
    <w:unhideWhenUsed/>
    <w:qFormat/>
    <w:uiPriority w:val="99"/>
    <w:rPr>
      <w:rFonts w:hint="default"/>
      <w:sz w:val="24"/>
      <w:szCs w:val="24"/>
    </w:rPr>
  </w:style>
  <w:style w:type="table" w:default="1" w:styleId="8">
    <w:name w:val="Normal Table"/>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2"/>
    <w:basedOn w:val="1"/>
    <w:qFormat/>
    <w:uiPriority w:val="99"/>
    <w:pPr>
      <w:spacing w:after="120" w:line="480" w:lineRule="auto"/>
    </w:pPr>
  </w:style>
  <w:style w:type="paragraph" w:styleId="5">
    <w:name w:val="Plain Text"/>
    <w:basedOn w:val="1"/>
    <w:next w:val="6"/>
    <w:unhideWhenUsed/>
    <w:qFormat/>
    <w:uiPriority w:val="0"/>
    <w:pPr>
      <w:spacing w:beforeLines="0" w:afterLines="0"/>
    </w:pPr>
    <w:rPr>
      <w:rFonts w:hint="eastAsia" w:ascii="宋体" w:hAnsi="Courier New" w:cs="Courier New"/>
      <w:sz w:val="21"/>
      <w:szCs w:val="21"/>
    </w:rPr>
  </w:style>
  <w:style w:type="paragraph" w:styleId="6">
    <w:name w:val="toc 2"/>
    <w:basedOn w:val="1"/>
    <w:next w:val="1"/>
    <w:unhideWhenUsed/>
    <w:qFormat/>
    <w:uiPriority w:val="0"/>
    <w:pPr>
      <w:spacing w:beforeLines="0" w:afterLines="0"/>
      <w:ind w:left="210"/>
      <w:jc w:val="left"/>
    </w:pPr>
    <w:rPr>
      <w:rFonts w:hint="eastAsia" w:ascii="等线" w:hAnsi="等线" w:eastAsia="等线"/>
      <w:smallCaps/>
      <w:sz w:val="20"/>
      <w:szCs w:val="24"/>
    </w:rPr>
  </w:style>
  <w:style w:type="paragraph" w:styleId="7">
    <w:name w:val="Normal (Web)"/>
    <w:basedOn w:val="1"/>
    <w:unhideWhenUsed/>
    <w:qFormat/>
    <w:uiPriority w:val="0"/>
    <w:pPr>
      <w:spacing w:before="100" w:beforeLines="0" w:beforeAutospacing="1" w:after="100" w:afterLines="0" w:afterAutospacing="1"/>
      <w:jc w:val="left"/>
    </w:pPr>
    <w:rPr>
      <w:rFonts w:hint="default"/>
      <w:kern w:val="0"/>
      <w:sz w:val="24"/>
      <w:szCs w:val="24"/>
      <w:lang w:val="en-US" w:eastAsia="zh-CN" w:bidi="ar"/>
    </w:rPr>
  </w:style>
  <w:style w:type="paragraph" w:styleId="10">
    <w:name w:val="List Paragraph"/>
    <w:basedOn w:val="1"/>
    <w:unhideWhenUsed/>
    <w:qFormat/>
    <w:uiPriority w:val="34"/>
    <w:pPr>
      <w:spacing w:beforeLines="0" w:afterLines="0"/>
      <w:ind w:firstLine="420" w:firstLineChars="200"/>
    </w:pPr>
    <w:rPr>
      <w:rFonts w:hint="default"/>
      <w:sz w:val="21"/>
      <w:szCs w:val="24"/>
    </w:rPr>
  </w:style>
  <w:style w:type="paragraph" w:customStyle="1" w:styleId="11">
    <w:name w:val="_Style 10"/>
    <w:basedOn w:val="1"/>
    <w:next w:val="1"/>
    <w:unhideWhenUsed/>
    <w:qFormat/>
    <w:uiPriority w:val="0"/>
    <w:pPr>
      <w:spacing w:beforeLines="0" w:afterLines="0"/>
      <w:ind w:left="210"/>
      <w:jc w:val="left"/>
    </w:pPr>
    <w:rPr>
      <w:rFonts w:hint="eastAsia" w:ascii="等线" w:hAnsi="等线" w:eastAsia="等线"/>
      <w:smallCaps/>
      <w:sz w:val="20"/>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15</Pages>
  <Words>1084</Words>
  <Characters>1103</Characters>
  <TotalTime>7</TotalTime>
  <ScaleCrop>false</ScaleCrop>
  <LinksUpToDate>false</LinksUpToDate>
  <CharactersWithSpaces>1106</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2025-02-24T11:36:00Z</dcterms:created>
  <dc:creator>环能学院组织员</dc:creator>
  <cp:lastModifiedBy>杨亚利</cp:lastModifiedBy>
  <dcterms:modified xsi:type="dcterms:W3CDTF">2025-02-28T06:47:07Z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1A8B123586E3498E859DA5983079B34B_13</vt:lpwstr>
  </property>
  <property fmtid="{D5CDD505-2E9C-101B-9397-08002B2CF9AE}" pid="4" name="KSOTemplateDocerSaveRecord">
    <vt:lpwstr>eyJoZGlkIjoiN2I2YTg4MjE3OTRiZGY4NzczZGVjNDUzZTE2MzY4YWIiLCJ1c2VySWQiOiIyNjU2NDk2ODcifQ==</vt:lpwstr>
  </property>
</Properties>
</file>