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124" w:firstLineChars="350"/>
        <w:jc w:val="left"/>
        <w:rPr>
          <w:rFonts w:ascii="仿宋" w:hAnsi="仿宋" w:eastAsia="仿宋"/>
          <w:b/>
          <w:sz w:val="32"/>
          <w:szCs w:val="28"/>
        </w:rPr>
      </w:pPr>
      <w:r>
        <w:rPr>
          <w:rFonts w:hint="eastAsia" w:ascii="仿宋" w:hAnsi="仿宋" w:eastAsia="仿宋"/>
          <w:b/>
          <w:sz w:val="32"/>
          <w:szCs w:val="28"/>
        </w:rPr>
        <w:t>附件3</w:t>
      </w:r>
    </w:p>
    <w:p>
      <w:pPr>
        <w:jc w:val="center"/>
        <w:rPr>
          <w:rFonts w:ascii="仿宋" w:hAnsi="仿宋" w:eastAsia="仿宋"/>
          <w:b/>
          <w:sz w:val="32"/>
          <w:szCs w:val="28"/>
        </w:rPr>
      </w:pPr>
      <w:r>
        <w:rPr>
          <w:rFonts w:hint="eastAsia" w:ascii="仿宋" w:hAnsi="仿宋" w:eastAsia="仿宋"/>
          <w:b/>
          <w:sz w:val="32"/>
          <w:szCs w:val="28"/>
        </w:rPr>
        <w:t>202</w:t>
      </w:r>
      <w:r>
        <w:rPr>
          <w:rFonts w:hint="eastAsia" w:ascii="仿宋" w:hAnsi="仿宋" w:eastAsia="仿宋"/>
          <w:b/>
          <w:sz w:val="32"/>
          <w:szCs w:val="28"/>
          <w:lang w:val="en-US" w:eastAsia="zh-CN"/>
        </w:rPr>
        <w:t>4</w:t>
      </w:r>
      <w:r>
        <w:rPr>
          <w:rFonts w:hint="eastAsia" w:ascii="仿宋" w:hAnsi="仿宋" w:eastAsia="仿宋"/>
          <w:b/>
          <w:sz w:val="32"/>
          <w:szCs w:val="28"/>
        </w:rPr>
        <w:t>年度北京</w:t>
      </w:r>
      <w:r>
        <w:rPr>
          <w:rFonts w:ascii="仿宋" w:hAnsi="仿宋" w:eastAsia="仿宋"/>
          <w:b/>
          <w:sz w:val="32"/>
          <w:szCs w:val="28"/>
        </w:rPr>
        <w:t>科技大学青年</w:t>
      </w:r>
      <w:r>
        <w:rPr>
          <w:rFonts w:hint="eastAsia" w:ascii="仿宋" w:hAnsi="仿宋" w:eastAsia="仿宋"/>
          <w:b/>
          <w:sz w:val="32"/>
          <w:szCs w:val="28"/>
        </w:rPr>
        <w:t>教学</w:t>
      </w:r>
      <w:r>
        <w:rPr>
          <w:rFonts w:ascii="仿宋" w:hAnsi="仿宋" w:eastAsia="仿宋"/>
          <w:b/>
          <w:sz w:val="32"/>
          <w:szCs w:val="28"/>
        </w:rPr>
        <w:t>骨干人才</w:t>
      </w:r>
      <w:r>
        <w:rPr>
          <w:rFonts w:hint="eastAsia" w:ascii="仿宋" w:hAnsi="仿宋" w:eastAsia="仿宋"/>
          <w:b/>
          <w:sz w:val="32"/>
          <w:szCs w:val="28"/>
        </w:rPr>
        <w:t>现场</w:t>
      </w:r>
      <w:r>
        <w:rPr>
          <w:rFonts w:ascii="仿宋" w:hAnsi="仿宋" w:eastAsia="仿宋"/>
          <w:b/>
          <w:sz w:val="32"/>
          <w:szCs w:val="28"/>
        </w:rPr>
        <w:t>授课评审标准</w:t>
      </w:r>
    </w:p>
    <w:p>
      <w:pPr>
        <w:tabs>
          <w:tab w:val="left" w:pos="3119"/>
        </w:tabs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b/>
          <w:sz w:val="28"/>
          <w:szCs w:val="28"/>
        </w:rPr>
        <w:t>年青年教学骨干人才评选现场授课选拔评价表(专家用表)</w:t>
      </w:r>
    </w:p>
    <w:p>
      <w:pPr>
        <w:jc w:val="center"/>
        <w:rPr>
          <w:rFonts w:ascii="仿宋" w:hAnsi="仿宋" w:eastAsia="仿宋"/>
          <w:b/>
          <w:sz w:val="24"/>
        </w:rPr>
      </w:pPr>
    </w:p>
    <w:tbl>
      <w:tblPr>
        <w:tblStyle w:val="5"/>
        <w:tblW w:w="136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2"/>
        <w:gridCol w:w="1175"/>
        <w:gridCol w:w="1361"/>
        <w:gridCol w:w="1428"/>
        <w:gridCol w:w="1428"/>
        <w:gridCol w:w="1431"/>
        <w:gridCol w:w="1425"/>
        <w:gridCol w:w="1425"/>
        <w:gridCol w:w="1428"/>
        <w:gridCol w:w="14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" w:hRule="atLeast"/>
          <w:jc w:val="center"/>
        </w:trPr>
        <w:tc>
          <w:tcPr>
            <w:tcW w:w="109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总分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考核点1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考核点2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考核点3</w:t>
            </w: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考核点4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考核点5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考核点6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考核点7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8" w:hRule="atLeast"/>
          <w:jc w:val="center"/>
        </w:trPr>
        <w:tc>
          <w:tcPr>
            <w:tcW w:w="109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标准说明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总分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凸显立德树人和思政育人目标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教学内容学术性强，体现优秀专业水准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注重启发，教学活动多样灵活</w:t>
            </w: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熟练、有效</w:t>
            </w:r>
            <w:r>
              <w:rPr>
                <w:rFonts w:hint="eastAsia" w:ascii="仿宋" w:hAnsi="仿宋" w:eastAsia="仿宋"/>
                <w:szCs w:val="21"/>
              </w:rPr>
              <w:t>利用</w:t>
            </w:r>
            <w:r>
              <w:rPr>
                <w:rFonts w:hint="eastAsia" w:ascii="仿宋" w:hAnsi="仿宋" w:eastAsia="仿宋"/>
                <w:szCs w:val="21"/>
                <w:lang w:eastAsia="zh-CN"/>
              </w:rPr>
              <w:t>多媒体等教学手段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hint="eastAsia" w:ascii="仿宋" w:hAnsi="仿宋" w:eastAsia="仿宋"/>
                <w:szCs w:val="21"/>
                <w:lang w:eastAsia="zh-CN"/>
              </w:rPr>
            </w:pPr>
            <w:r>
              <w:rPr>
                <w:rFonts w:hint="eastAsia" w:ascii="仿宋" w:hAnsi="仿宋" w:eastAsia="仿宋"/>
                <w:szCs w:val="21"/>
                <w:lang w:eastAsia="zh-CN"/>
              </w:rPr>
              <w:t>具有较强的感染力和吸引力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教学效果好，能起到骨干示范作用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骨干人才计划目标明确，有预期成果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各项环节时间控制良好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  <w:jc w:val="center"/>
        </w:trPr>
        <w:tc>
          <w:tcPr>
            <w:tcW w:w="1092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分值</w:t>
            </w:r>
          </w:p>
        </w:tc>
        <w:tc>
          <w:tcPr>
            <w:tcW w:w="117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100分</w:t>
            </w:r>
          </w:p>
        </w:tc>
        <w:tc>
          <w:tcPr>
            <w:tcW w:w="136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10分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15分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</w:t>
            </w: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/>
                <w:b/>
                <w:szCs w:val="21"/>
              </w:rPr>
              <w:t>分</w:t>
            </w:r>
          </w:p>
        </w:tc>
        <w:tc>
          <w:tcPr>
            <w:tcW w:w="1431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</w:t>
            </w:r>
            <w:r>
              <w:rPr>
                <w:rFonts w:hint="eastAsia" w:ascii="仿宋" w:hAnsi="仿宋" w:eastAsia="仿宋"/>
                <w:b/>
                <w:szCs w:val="21"/>
                <w:lang w:val="en-US" w:eastAsia="zh-CN"/>
              </w:rPr>
              <w:t>0</w:t>
            </w:r>
            <w:r>
              <w:rPr>
                <w:rFonts w:hint="eastAsia" w:ascii="仿宋" w:hAnsi="仿宋" w:eastAsia="仿宋"/>
                <w:b/>
                <w:szCs w:val="21"/>
              </w:rPr>
              <w:t>分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10分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15分</w:t>
            </w:r>
          </w:p>
        </w:tc>
        <w:tc>
          <w:tcPr>
            <w:tcW w:w="142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142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5分</w:t>
            </w:r>
          </w:p>
        </w:tc>
      </w:tr>
    </w:tbl>
    <w:p>
      <w:pPr>
        <w:rPr>
          <w:rFonts w:ascii="仿宋" w:hAnsi="仿宋" w:eastAsia="仿宋"/>
          <w:b/>
          <w:sz w:val="28"/>
          <w:szCs w:val="28"/>
        </w:rPr>
      </w:pPr>
    </w:p>
    <w:p>
      <w:pPr>
        <w:jc w:val="center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202</w:t>
      </w:r>
      <w:r>
        <w:rPr>
          <w:rFonts w:hint="eastAsia" w:ascii="仿宋" w:hAnsi="仿宋" w:eastAsia="仿宋"/>
          <w:b/>
          <w:sz w:val="28"/>
          <w:szCs w:val="28"/>
          <w:lang w:val="en-US" w:eastAsia="zh-CN"/>
        </w:rPr>
        <w:t>4</w:t>
      </w:r>
      <w:r>
        <w:rPr>
          <w:rFonts w:hint="eastAsia" w:ascii="仿宋" w:hAnsi="仿宋" w:eastAsia="仿宋"/>
          <w:b/>
          <w:sz w:val="28"/>
          <w:szCs w:val="28"/>
        </w:rPr>
        <w:t>年青年教学骨干人才评选现场授课选拔评价表(学生用表)</w:t>
      </w:r>
    </w:p>
    <w:p>
      <w:pPr>
        <w:rPr>
          <w:rFonts w:ascii="仿宋" w:hAnsi="仿宋" w:eastAsia="仿宋"/>
        </w:rPr>
      </w:pPr>
    </w:p>
    <w:tbl>
      <w:tblPr>
        <w:tblStyle w:val="5"/>
        <w:tblW w:w="1360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3"/>
        <w:gridCol w:w="1903"/>
        <w:gridCol w:w="2120"/>
        <w:gridCol w:w="2196"/>
        <w:gridCol w:w="2196"/>
        <w:gridCol w:w="2198"/>
        <w:gridCol w:w="16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  <w:jc w:val="center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总分</w:t>
            </w:r>
          </w:p>
        </w:tc>
        <w:tc>
          <w:tcPr>
            <w:tcW w:w="212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考核点1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愿意听</w:t>
            </w:r>
          </w:p>
        </w:tc>
        <w:tc>
          <w:tcPr>
            <w:tcW w:w="219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考核点2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能听懂</w:t>
            </w:r>
          </w:p>
        </w:tc>
        <w:tc>
          <w:tcPr>
            <w:tcW w:w="219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考核点3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促思考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考核点4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多参与</w:t>
            </w: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考核点5</w:t>
            </w:r>
          </w:p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有收获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5" w:hRule="atLeast"/>
          <w:jc w:val="center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标准说明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总分</w:t>
            </w:r>
          </w:p>
        </w:tc>
        <w:tc>
          <w:tcPr>
            <w:tcW w:w="2120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讲授富有感染力，能吸引我的注意</w:t>
            </w:r>
          </w:p>
        </w:tc>
        <w:tc>
          <w:tcPr>
            <w:tcW w:w="219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讲授深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Cs w:val="21"/>
              </w:rPr>
              <w:t>入浅出，我能理解、消化教学内容</w:t>
            </w:r>
          </w:p>
        </w:tc>
        <w:tc>
          <w:tcPr>
            <w:tcW w:w="2196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讲授具有启发性，能理论联系实际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讲授激发了我的学习热情，愿意与教师互动</w:t>
            </w: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ascii="仿宋" w:hAnsi="仿宋" w:eastAsia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教师教学能力强，我收获很大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36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分值</w:t>
            </w:r>
          </w:p>
        </w:tc>
        <w:tc>
          <w:tcPr>
            <w:tcW w:w="1903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100分</w:t>
            </w:r>
          </w:p>
        </w:tc>
        <w:tc>
          <w:tcPr>
            <w:tcW w:w="2120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219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2196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2198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  <w:tc>
          <w:tcPr>
            <w:tcW w:w="1624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szCs w:val="21"/>
              </w:rPr>
            </w:pPr>
            <w:r>
              <w:rPr>
                <w:rFonts w:hint="eastAsia" w:ascii="仿宋" w:hAnsi="仿宋" w:eastAsia="仿宋"/>
                <w:b/>
                <w:szCs w:val="21"/>
              </w:rPr>
              <w:t>20分</w:t>
            </w:r>
          </w:p>
        </w:tc>
      </w:tr>
    </w:tbl>
    <w:p>
      <w:pPr>
        <w:rPr>
          <w:rFonts w:ascii="仿宋" w:hAnsi="仿宋" w:eastAsia="仿宋"/>
        </w:rPr>
      </w:pPr>
    </w:p>
    <w:sectPr>
      <w:footerReference r:id="rId3" w:type="default"/>
      <w:pgSz w:w="16838" w:h="11906" w:orient="landscape"/>
      <w:pgMar w:top="567" w:right="567" w:bottom="567" w:left="56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73165017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U3YmMwMDU0N2U4MzY3ZjUyOTA5ZTdjZDMyNGQ4YjkifQ=="/>
  </w:docVars>
  <w:rsids>
    <w:rsidRoot w:val="007C1720"/>
    <w:rsid w:val="000252AD"/>
    <w:rsid w:val="000B0007"/>
    <w:rsid w:val="000D30DE"/>
    <w:rsid w:val="001060F4"/>
    <w:rsid w:val="00111818"/>
    <w:rsid w:val="00125405"/>
    <w:rsid w:val="00141390"/>
    <w:rsid w:val="00142A80"/>
    <w:rsid w:val="001445EA"/>
    <w:rsid w:val="00157DEE"/>
    <w:rsid w:val="001B16F4"/>
    <w:rsid w:val="001B20CF"/>
    <w:rsid w:val="001F2B9C"/>
    <w:rsid w:val="00231244"/>
    <w:rsid w:val="00252533"/>
    <w:rsid w:val="002530C4"/>
    <w:rsid w:val="002D1C13"/>
    <w:rsid w:val="003007B9"/>
    <w:rsid w:val="00336037"/>
    <w:rsid w:val="00342825"/>
    <w:rsid w:val="0034530C"/>
    <w:rsid w:val="00354597"/>
    <w:rsid w:val="00364546"/>
    <w:rsid w:val="003749BC"/>
    <w:rsid w:val="003947C3"/>
    <w:rsid w:val="003C1603"/>
    <w:rsid w:val="003C7048"/>
    <w:rsid w:val="003D4C33"/>
    <w:rsid w:val="003F2FF5"/>
    <w:rsid w:val="00415547"/>
    <w:rsid w:val="004362B1"/>
    <w:rsid w:val="004814ED"/>
    <w:rsid w:val="004C147D"/>
    <w:rsid w:val="004D5A11"/>
    <w:rsid w:val="004F1244"/>
    <w:rsid w:val="005125A0"/>
    <w:rsid w:val="005D7C9C"/>
    <w:rsid w:val="00607205"/>
    <w:rsid w:val="00615117"/>
    <w:rsid w:val="006262CB"/>
    <w:rsid w:val="0067234C"/>
    <w:rsid w:val="006C2697"/>
    <w:rsid w:val="006C4868"/>
    <w:rsid w:val="0070702B"/>
    <w:rsid w:val="00707781"/>
    <w:rsid w:val="00721E14"/>
    <w:rsid w:val="00722200"/>
    <w:rsid w:val="007A14B2"/>
    <w:rsid w:val="007A5A3F"/>
    <w:rsid w:val="007C1720"/>
    <w:rsid w:val="007D3EBC"/>
    <w:rsid w:val="007F3C56"/>
    <w:rsid w:val="007F5DA8"/>
    <w:rsid w:val="00805133"/>
    <w:rsid w:val="00830530"/>
    <w:rsid w:val="00865EAA"/>
    <w:rsid w:val="0087498A"/>
    <w:rsid w:val="008750C3"/>
    <w:rsid w:val="008810A6"/>
    <w:rsid w:val="008B4579"/>
    <w:rsid w:val="008B76C4"/>
    <w:rsid w:val="008C2237"/>
    <w:rsid w:val="008C33B0"/>
    <w:rsid w:val="008C7072"/>
    <w:rsid w:val="008E5D39"/>
    <w:rsid w:val="00910C48"/>
    <w:rsid w:val="00932248"/>
    <w:rsid w:val="00943ED1"/>
    <w:rsid w:val="009826CA"/>
    <w:rsid w:val="009840AA"/>
    <w:rsid w:val="00A342AF"/>
    <w:rsid w:val="00A4034A"/>
    <w:rsid w:val="00A47ADB"/>
    <w:rsid w:val="00A91D5B"/>
    <w:rsid w:val="00AC490D"/>
    <w:rsid w:val="00AC7AFF"/>
    <w:rsid w:val="00AE6A41"/>
    <w:rsid w:val="00B073F3"/>
    <w:rsid w:val="00B23DF1"/>
    <w:rsid w:val="00BD122F"/>
    <w:rsid w:val="00BD1B98"/>
    <w:rsid w:val="00BE0FE8"/>
    <w:rsid w:val="00C03570"/>
    <w:rsid w:val="00C12478"/>
    <w:rsid w:val="00C27628"/>
    <w:rsid w:val="00C76529"/>
    <w:rsid w:val="00C86540"/>
    <w:rsid w:val="00D0267A"/>
    <w:rsid w:val="00D07876"/>
    <w:rsid w:val="00D16797"/>
    <w:rsid w:val="00D45F1A"/>
    <w:rsid w:val="00D53EE5"/>
    <w:rsid w:val="00D657B9"/>
    <w:rsid w:val="00D77A3A"/>
    <w:rsid w:val="00D9181F"/>
    <w:rsid w:val="00DB026D"/>
    <w:rsid w:val="00DC372D"/>
    <w:rsid w:val="00DC4EDF"/>
    <w:rsid w:val="00E00962"/>
    <w:rsid w:val="00E07420"/>
    <w:rsid w:val="00E76F69"/>
    <w:rsid w:val="00EA4542"/>
    <w:rsid w:val="00EA78C7"/>
    <w:rsid w:val="00ED39D1"/>
    <w:rsid w:val="00EE54EC"/>
    <w:rsid w:val="00EF06FA"/>
    <w:rsid w:val="00F171A8"/>
    <w:rsid w:val="00F17682"/>
    <w:rsid w:val="00F44FD4"/>
    <w:rsid w:val="00F47BB6"/>
    <w:rsid w:val="00FA133D"/>
    <w:rsid w:val="00FA2E51"/>
    <w:rsid w:val="00FC5CBB"/>
    <w:rsid w:val="00FC6352"/>
    <w:rsid w:val="00FD26C8"/>
    <w:rsid w:val="00FF5F7D"/>
    <w:rsid w:val="342806A0"/>
    <w:rsid w:val="389F0EF6"/>
    <w:rsid w:val="53EC4795"/>
    <w:rsid w:val="614C0364"/>
    <w:rsid w:val="6493208C"/>
    <w:rsid w:val="69643FB8"/>
    <w:rsid w:val="70080F8E"/>
    <w:rsid w:val="703D085C"/>
    <w:rsid w:val="705575B2"/>
    <w:rsid w:val="796C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qFormat="1" w:unhideWhenUsed="0" w:uiPriority="0" w:semiHidden="0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Table Professional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000000" w:sz="6" w:space="0"/>
        <w:left w:val="single" w:color="000000" w:sz="6" w:space="0"/>
        <w:bottom w:val="single" w:color="000000" w:sz="6" w:space="0"/>
        <w:right w:val="single" w:color="000000" w:sz="6" w:space="0"/>
        <w:insideH w:val="single" w:color="000000" w:sz="6" w:space="0"/>
        <w:insideV w:val="single" w:color="000000" w:sz="6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il"/>
          <w:tr2bl w:val="nil"/>
        </w:tcBorders>
        <w:shd w:val="solid" w:color="000000" w:fill="FFFFFF"/>
      </w:tcPr>
    </w:tblStylePr>
  </w:style>
  <w:style w:type="character" w:customStyle="1" w:styleId="8">
    <w:name w:val="页眉 Char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paragraph" w:styleId="10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1536B-7817-497A-AB3E-EA665F62096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390</Words>
  <Characters>415</Characters>
  <Lines>3</Lines>
  <Paragraphs>1</Paragraphs>
  <TotalTime>7</TotalTime>
  <ScaleCrop>false</ScaleCrop>
  <LinksUpToDate>false</LinksUpToDate>
  <CharactersWithSpaces>415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2019-04-24T09:25:00Z</dcterms:created>
  <dc:creator>JWC</dc:creator>
  <cp:lastModifiedBy>王晓晓</cp:lastModifiedBy>
  <cp:lastPrinted>2015-04-23T23:59:00Z</cp:lastPrinted>
  <dcterms:modified xsi:type="dcterms:W3CDTF">2024-01-10T08:45:03Z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3D9AE03381FF49558E9E0AFF572C5882</vt:lpwstr>
  </property>
</Properties>
</file>