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 w:eastAsia="仿宋_GB2312"/>
          <w:sz w:val="28"/>
          <w:szCs w:val="28"/>
        </w:rPr>
      </w:pPr>
      <w:bookmarkStart w:id="0" w:name="_Toc299350702"/>
      <w:r>
        <w:rPr>
          <w:rFonts w:hint="eastAsia" w:ascii="仿宋_GB2312" w:hAnsi="仿宋" w:eastAsia="仿宋_GB2312"/>
          <w:sz w:val="28"/>
          <w:szCs w:val="28"/>
        </w:rPr>
        <w:drawing>
          <wp:inline distT="0" distB="0" distL="114300" distR="114300">
            <wp:extent cx="5758180" cy="1713230"/>
            <wp:effectExtent l="0" t="0" r="2540" b="8890"/>
            <wp:docPr id="1" name="图片 1" descr="共青团+创新创业中心+教务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共青团+创新创业中心+教务处"/>
                    <pic:cNvPicPr>
                      <a:picLocks noChangeAspect="1"/>
                    </pic:cNvPicPr>
                  </pic:nvPicPr>
                  <pic:blipFill>
                    <a:blip r:embed="rId5"/>
                    <a:stretch>
                      <a:fillRect/>
                    </a:stretch>
                  </pic:blipFill>
                  <pic:spPr>
                    <a:xfrm>
                      <a:off x="0" y="0"/>
                      <a:ext cx="5758180" cy="1713230"/>
                    </a:xfrm>
                    <a:prstGeom prst="rect">
                      <a:avLst/>
                    </a:prstGeom>
                  </pic:spPr>
                </pic:pic>
              </a:graphicData>
            </a:graphic>
          </wp:inline>
        </w:drawing>
      </w:r>
      <w:r>
        <w:rPr>
          <w:rFonts w:hint="eastAsia" w:ascii="仿宋_GB2312" w:hAnsi="仿宋" w:eastAsia="仿宋_GB2312"/>
          <w:sz w:val="28"/>
          <w:szCs w:val="28"/>
        </w:rPr>
        <w:t>校团</w:t>
      </w:r>
      <w:bookmarkStart w:id="1" w:name="_GoBack"/>
      <w:bookmarkEnd w:id="1"/>
      <w:r>
        <w:rPr>
          <w:rFonts w:hint="eastAsia" w:ascii="仿宋_GB2312" w:hAnsi="仿宋" w:eastAsia="仿宋_GB2312"/>
          <w:sz w:val="28"/>
          <w:szCs w:val="28"/>
        </w:rPr>
        <w:t>发</w:t>
      </w:r>
      <w:r>
        <w:rPr>
          <w:rFonts w:hint="eastAsia" w:ascii="仿宋_GB2312" w:hAnsi="仿宋" w:eastAsia="仿宋_GB2312"/>
          <w:sz w:val="28"/>
          <w:szCs w:val="28"/>
        </w:rPr>
        <w:t>〔202</w:t>
      </w:r>
      <w:r>
        <w:rPr>
          <w:rFonts w:hint="eastAsia" w:ascii="仿宋_GB2312" w:hAnsi="仿宋" w:eastAsia="仿宋_GB2312"/>
          <w:sz w:val="28"/>
          <w:szCs w:val="28"/>
        </w:rPr>
        <w:t>2</w:t>
      </w:r>
      <w:r>
        <w:rPr>
          <w:rFonts w:hint="eastAsia" w:ascii="仿宋_GB2312" w:hAnsi="仿宋" w:eastAsia="仿宋_GB2312"/>
          <w:sz w:val="28"/>
          <w:szCs w:val="28"/>
        </w:rPr>
        <w:t>〕1</w:t>
      </w:r>
      <w:r>
        <w:rPr>
          <w:rFonts w:hint="eastAsia" w:ascii="仿宋_GB2312" w:hAnsi="仿宋" w:eastAsia="仿宋_GB2312"/>
          <w:sz w:val="28"/>
          <w:szCs w:val="28"/>
        </w:rPr>
        <w:t>0</w:t>
      </w:r>
      <w:r>
        <w:rPr>
          <w:rFonts w:hint="eastAsia" w:ascii="仿宋_GB2312" w:hAnsi="仿宋" w:eastAsia="仿宋_GB2312"/>
          <w:sz w:val="28"/>
          <w:szCs w:val="28"/>
        </w:rPr>
        <w:t>号</w:t>
      </w:r>
      <w:r>
        <w:rPr>
          <w:rFonts w:hint="eastAsia" w:ascii="仿宋_GB2312" w:hAnsi="仿宋" w:eastAsia="仿宋_GB2312"/>
          <w:sz w:val="28"/>
          <w:szCs w:val="28"/>
        </w:rPr>
        <w:t xml:space="preserve">  </w:t>
      </w:r>
      <w:r>
        <w:rPr>
          <w:rFonts w:hint="eastAsia" w:ascii="仿宋_GB2312" w:hAnsi="仿宋" w:eastAsia="仿宋_GB2312"/>
          <w:sz w:val="28"/>
          <w:szCs w:val="28"/>
        </w:rPr>
        <w:t>校双创发</w:t>
      </w:r>
      <w:r>
        <w:rPr>
          <w:rFonts w:hint="eastAsia" w:ascii="仿宋_GB2312" w:hAnsi="仿宋" w:eastAsia="仿宋_GB2312"/>
          <w:sz w:val="28"/>
          <w:szCs w:val="28"/>
        </w:rPr>
        <w:t>〔202</w:t>
      </w:r>
      <w:r>
        <w:rPr>
          <w:rFonts w:hint="eastAsia" w:ascii="仿宋_GB2312" w:hAnsi="仿宋" w:eastAsia="仿宋_GB2312"/>
          <w:sz w:val="28"/>
          <w:szCs w:val="28"/>
        </w:rPr>
        <w:t>2</w:t>
      </w:r>
      <w:r>
        <w:rPr>
          <w:rFonts w:hint="eastAsia" w:ascii="仿宋_GB2312" w:hAnsi="仿宋" w:eastAsia="仿宋_GB2312"/>
          <w:sz w:val="28"/>
          <w:szCs w:val="28"/>
        </w:rPr>
        <w:t>〕03号</w:t>
      </w:r>
      <w:r>
        <w:rPr>
          <w:rFonts w:hint="eastAsia" w:ascii="仿宋_GB2312" w:hAnsi="仿宋" w:eastAsia="仿宋_GB2312"/>
          <w:sz w:val="28"/>
          <w:szCs w:val="28"/>
        </w:rPr>
        <w:t xml:space="preserve"> </w:t>
      </w:r>
      <w:r>
        <w:rPr>
          <w:rFonts w:hint="eastAsia" w:ascii="仿宋_GB2312" w:hAnsi="仿宋" w:eastAsia="仿宋_GB2312"/>
          <w:sz w:val="28"/>
          <w:szCs w:val="28"/>
        </w:rPr>
        <w:t xml:space="preserve"> </w:t>
      </w:r>
      <w:r>
        <w:rPr>
          <w:rFonts w:hint="eastAsia" w:ascii="仿宋_GB2312" w:hAnsi="仿宋" w:eastAsia="仿宋_GB2312"/>
          <w:sz w:val="28"/>
          <w:szCs w:val="28"/>
        </w:rPr>
        <w:t>教通知</w:t>
      </w:r>
      <w:r>
        <w:rPr>
          <w:rFonts w:hint="eastAsia" w:ascii="仿宋_GB2312" w:hAnsi="仿宋" w:eastAsia="仿宋_GB2312"/>
          <w:sz w:val="28"/>
          <w:szCs w:val="28"/>
        </w:rPr>
        <w:t>〔202</w:t>
      </w:r>
      <w:r>
        <w:rPr>
          <w:rFonts w:hint="eastAsia" w:ascii="仿宋_GB2312" w:hAnsi="仿宋" w:eastAsia="仿宋_GB2312"/>
          <w:sz w:val="28"/>
          <w:szCs w:val="28"/>
        </w:rPr>
        <w:t>2</w:t>
      </w:r>
      <w:r>
        <w:rPr>
          <w:rFonts w:hint="eastAsia" w:ascii="仿宋_GB2312" w:hAnsi="仿宋" w:eastAsia="仿宋_GB2312"/>
          <w:sz w:val="28"/>
          <w:szCs w:val="28"/>
        </w:rPr>
        <w:t>〕3</w:t>
      </w:r>
      <w:r>
        <w:rPr>
          <w:rFonts w:hint="eastAsia" w:ascii="仿宋_GB2312" w:hAnsi="仿宋" w:eastAsia="仿宋_GB2312"/>
          <w:sz w:val="28"/>
          <w:szCs w:val="28"/>
        </w:rPr>
        <w:t>3</w:t>
      </w:r>
      <w:r>
        <w:rPr>
          <w:rFonts w:hint="eastAsia" w:ascii="仿宋_GB2312" w:hAnsi="仿宋" w:eastAsia="仿宋_GB2312"/>
          <w:sz w:val="28"/>
          <w:szCs w:val="28"/>
        </w:rPr>
        <w:t>号</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 w:eastAsia="仿宋_GB2312"/>
          <w:sz w:val="28"/>
          <w:szCs w:val="28"/>
        </w:rPr>
      </w:pPr>
      <w:r>
        <w:rPr>
          <w:rFonts w:hint="eastAsia" w:ascii="仿宋_GB2312" w:hAnsi="仿宋" w:eastAsia="仿宋_GB2312"/>
          <w:sz w:val="28"/>
          <w:szCs w:val="28"/>
        </w:rPr>
        <mc:AlternateContent>
          <mc:Choice Requires="wpg">
            <w:drawing>
              <wp:anchor distT="0" distB="0" distL="114300" distR="114300" simplePos="0" relativeHeight="251659264" behindDoc="0" locked="0" layoutInCell="1" allowOverlap="1">
                <wp:simplePos x="0" y="0"/>
                <wp:positionH relativeFrom="margin">
                  <wp:posOffset>26035</wp:posOffset>
                </wp:positionH>
                <wp:positionV relativeFrom="paragraph">
                  <wp:posOffset>48260</wp:posOffset>
                </wp:positionV>
                <wp:extent cx="5763260" cy="55245"/>
                <wp:effectExtent l="0" t="19050" r="27940" b="20955"/>
                <wp:wrapNone/>
                <wp:docPr id="14" name="组合 14"/>
                <wp:cNvGraphicFramePr/>
                <a:graphic xmlns:a="http://schemas.openxmlformats.org/drawingml/2006/main">
                  <a:graphicData uri="http://schemas.microsoft.com/office/word/2010/wordprocessingGroup">
                    <wpg:wgp>
                      <wpg:cNvGrpSpPr/>
                      <wpg:grpSpPr>
                        <a:xfrm flipV="1">
                          <a:off x="0" y="0"/>
                          <a:ext cx="5763260" cy="55245"/>
                          <a:chOff x="1754" y="13792"/>
                          <a:chExt cx="8982" cy="87"/>
                        </a:xfrm>
                      </wpg:grpSpPr>
                      <wps:wsp>
                        <wps:cNvPr id="15" name="自选图形 2"/>
                        <wps:cNvCnPr>
                          <a:cxnSpLocks noChangeShapeType="1"/>
                        </wps:cNvCnPr>
                        <wps:spPr bwMode="auto">
                          <a:xfrm>
                            <a:off x="1760" y="13792"/>
                            <a:ext cx="8976" cy="0"/>
                          </a:xfrm>
                          <a:prstGeom prst="straightConnector1">
                            <a:avLst/>
                          </a:prstGeom>
                          <a:noFill/>
                          <a:ln w="15875">
                            <a:solidFill>
                              <a:srgbClr val="FF0000"/>
                            </a:solidFill>
                            <a:round/>
                          </a:ln>
                        </wps:spPr>
                        <wps:bodyPr/>
                      </wps:wsp>
                      <wps:wsp>
                        <wps:cNvPr id="16" name="自选图形 3"/>
                        <wps:cNvCnPr>
                          <a:cxnSpLocks noChangeShapeType="1"/>
                        </wps:cNvCnPr>
                        <wps:spPr bwMode="auto">
                          <a:xfrm>
                            <a:off x="1754" y="13879"/>
                            <a:ext cx="8976" cy="0"/>
                          </a:xfrm>
                          <a:prstGeom prst="straightConnector1">
                            <a:avLst/>
                          </a:prstGeom>
                          <a:noFill/>
                          <a:ln w="38100">
                            <a:solidFill>
                              <a:srgbClr val="FF0000"/>
                            </a:solidFill>
                            <a:round/>
                          </a:ln>
                        </wps:spPr>
                        <wps:bodyPr/>
                      </wps:wsp>
                    </wpg:wgp>
                  </a:graphicData>
                </a:graphic>
              </wp:anchor>
            </w:drawing>
          </mc:Choice>
          <mc:Fallback>
            <w:pict>
              <v:group id="_x0000_s1026" o:spid="_x0000_s1026" o:spt="203" style="position:absolute;left:0pt;flip:y;margin-left:2.05pt;margin-top:3.8pt;height:4.35pt;width:453.8pt;mso-position-horizontal-relative:margin;z-index:251659264;mso-width-relative:page;mso-height-relative:page;" coordorigin="1754,13792" coordsize="8982,87" o:gfxdata="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DUnw3bUAAAABgEAAA8AAAAAAAAAAQAgAAAAIgAAAGRycy9kb3ducmV2LnhtbFBLAQIUABQAAAAI&#10;AIdO4kDv7Mr/nAIAANIGAAAOAAAAAAAAAAEAIAAAACMBAABkcnMvZTJvRG9jLnhtbFBLBQYAAAAA&#10;BgAGAFkBAAAxBgAAAAA=&#10;">
                <o:lock v:ext="edit" aspectratio="f"/>
                <v:shape id="自选图形 2" o:spid="_x0000_s1026" o:spt="32" type="#_x0000_t32" style="position:absolute;left:1760;top:13792;height:0;width:8976;" filled="f" stroked="t" coordsize="21600,21600" o:gfxdata="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s46rsAAADb&#10;AAAADwAAAAAAAAABACAAAAAiAAAAZHJzL2Rvd25yZXYueG1sUEsBAhQAFAAAAAgAh07iQDMvBZ47&#10;AAAAOQAAABAAAAAAAAAAAQAgAAAACgEAAGRycy9zaGFwZXhtbC54bWxQSwUGAAAAAAYABgBbAQAA&#10;tAMAAAAA&#10;">
                  <v:fill on="f" focussize="0,0"/>
                  <v:stroke weight="1.25pt" color="#FF0000" joinstyle="round"/>
                  <v:imagedata o:title=""/>
                  <o:lock v:ext="edit" aspectratio="f"/>
                </v:shape>
                <v:shape id="自选图形 3" o:spid="_x0000_s1026" o:spt="32" type="#_x0000_t32" style="position:absolute;left:1754;top:13879;height:0;width:8976;" filled="f" stroked="t" coordsize="21600,21600" o:gfxdata="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R/WytwAAANsAAAAP&#10;AAAAAAAAAAEAIAAAACIAAABkcnMvZG93bnJldi54bWxQSwECFAAUAAAACACHTuJAMy8FnjsAAAA5&#10;AAAAEAAAAAAAAAABACAAAAAGAQAAZHJzL3NoYXBleG1sLnhtbFBLBQYAAAAABgAGAFsBAACwAwAA&#10;AAA=&#10;">
                  <v:fill on="f" focussize="0,0"/>
                  <v:stroke weight="3pt" color="#FF0000" joinstyle="round"/>
                  <v:imagedata o:title=""/>
                  <o:lock v:ext="edit" aspectratio="f"/>
                </v:shape>
              </v:group>
            </w:pict>
          </mc:Fallback>
        </mc:AlternateContent>
      </w:r>
    </w:p>
    <w:bookmarkEnd w:id="0"/>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bCs/>
          <w:sz w:val="32"/>
          <w:szCs w:val="32"/>
        </w:rPr>
      </w:pPr>
      <w:r>
        <w:rPr>
          <w:rFonts w:hint="eastAsia" w:ascii="华文中宋" w:hAnsi="华文中宋" w:eastAsia="华文中宋"/>
          <w:b/>
          <w:bCs/>
          <w:sz w:val="32"/>
          <w:szCs w:val="32"/>
        </w:rPr>
        <w:t>关于举办2022年“挑战杯”首都大学生创业计划竞赛</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bCs/>
          <w:sz w:val="32"/>
          <w:szCs w:val="32"/>
        </w:rPr>
      </w:pPr>
      <w:r>
        <w:rPr>
          <w:rFonts w:hint="eastAsia" w:ascii="华文中宋" w:hAnsi="华文中宋" w:eastAsia="华文中宋"/>
          <w:b/>
          <w:bCs/>
          <w:sz w:val="32"/>
          <w:szCs w:val="32"/>
        </w:rPr>
        <w:t>参赛项目遴选的通知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各学院及研究生培养单位：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为深入学习领会习近平总书记关于“创新创业创造”重要论述的时代内涵，贯彻落实“为党育人 为国育才”的工作职责，立足首都“国际科技创新中心”建设，为首都创新创业高质量发展发掘培育青年后备人才，引导广大首都青年学子以优异创新创业成果在建团百年之际向党的二十大献礼，北京团市委联合北京市教育委员会、北京市人力资源和社会保障局、北京市科学技术协会、中共北京市委农工委、北京市农业农村局（北京市乡村振兴局）、北京城市副中心管理委员会、北京市青年联合会、北京市学生联合会开展“青创北京”</w:t>
      </w:r>
      <w:r>
        <w:rPr>
          <w:rFonts w:hint="eastAsia" w:ascii="仿宋_GB2312" w:hAnsi="仿宋" w:eastAsia="仿宋_GB2312"/>
          <w:b/>
          <w:bCs/>
          <w:sz w:val="28"/>
          <w:szCs w:val="28"/>
        </w:rPr>
        <w:t>2022年“挑战杯”首都大学生创业计划竞赛</w:t>
      </w:r>
      <w:r>
        <w:rPr>
          <w:rFonts w:hint="eastAsia" w:ascii="仿宋_GB2312" w:hAnsi="仿宋" w:eastAsia="仿宋_GB2312"/>
          <w:sz w:val="28"/>
          <w:szCs w:val="28"/>
        </w:rPr>
        <w:t>。为组织学生创新创业团队积极参赛，学校将开展参赛项目遴选工作，现将有关事项通知如下。</w:t>
      </w: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一、竞赛目的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深入学习贯彻习近平新时代中国特色社会主义思想，聚焦为党育人功能，从实践教育角度出发，引导和激励学生弘扬时代精神，把握时代脉搏，通过开展广泛的社会实践、深刻的社会观察，不断增强对国情社情的了解，将所学知识与经济社会发展紧密结合，提高创新、创意、创造、创业的意识和能力，提升社会化能力，为决胜全面建成小康社会、建设社会主义现代化强国、实现中华民族伟大复兴的中国梦贡献青春力量。</w:t>
      </w: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二、参赛对象和要求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在2022年6月1日以前正式注册的全日制非成人教育的在校本科生、硕士研究生（不含在职研究生）可参加。硕博连读生、直接攻读博士生前两年可以按硕士研究生学历申报作品，本硕博连读生，按照四年、二年分别对应本、硕申报。博士研究生仅可作为项目团队成员参赛（不作为项目负责人）、且人数不超过团队成员数量的30%。</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以团队为单位报名参赛，同一个人作为团队负责人只能使用一个项目报名参赛，项目团队成员原则上不多于10人（含团队负责人），须为项目的实际核心成员，项目指导教师不超过3人。参赛团队所报参赛创业项目，须为本团队策划或经营的项目，不得借用他人项目参赛。</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 w:eastAsia="仿宋_GB2312"/>
          <w:b/>
          <w:bCs/>
          <w:sz w:val="28"/>
          <w:szCs w:val="28"/>
        </w:rPr>
      </w:pPr>
      <w:r>
        <w:rPr>
          <w:rFonts w:hint="eastAsia" w:ascii="仿宋_GB2312" w:hAnsi="仿宋" w:eastAsia="仿宋_GB2312"/>
          <w:b/>
          <w:bCs/>
          <w:sz w:val="28"/>
          <w:szCs w:val="28"/>
        </w:rPr>
        <w:t>报名学校“摇篮杯”大学生创新创业竞赛的项目如要参加“挑战杯”首都赛，须报名本次参赛项目遴选。留学生限报名“青系四海”留学生专项赛道。</w:t>
      </w: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三、项目报名组别</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聚焦创新、协调、绿色、开放、共享五大发展理念，设五个组别：</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1.科技创新和未来产业：突出科技创新，在智能制造、人工智能、信息技术、生命科学、新材料、军民融合等领域，结合实践观察设计项目。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2.乡村振兴和农业农村现代化：围绕实施乡村振兴战略，在农林牧渔、旅游休闲、城乡融合等领域，结合实践观察设计项目。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3.城市治理和社会服务：围绕国家治理体系和治理能力现代化建设，在政务服务、消费生活、公共卫生与医疗服务、金融与法律服务、教育培训、交通物流、人力资源等领域，结合实践观察设计项目。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4.生态环保和可持续发展：围绕可持续发展战略和碳达峰碳中和目标，在环境治理、可持续资源开发、生态环保、清洁能源应用等领域，结合实践观察设计项目。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5.文化创意和区域合作：突出共融、共享，紧密围绕“一带一路”和京津冀地区、长三角地区、成渝地区及粤港澳大湾区等经济合作建设，在工艺与设计、动漫广告、体育竞技和国际文化传播、对外交流培训、对外经贸等领域，结合实践观察设计项目。</w:t>
      </w: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四、项目报名要求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 w:eastAsia="仿宋_GB2312"/>
          <w:sz w:val="28"/>
          <w:szCs w:val="28"/>
        </w:rPr>
      </w:pPr>
      <w:r>
        <w:rPr>
          <w:rFonts w:hint="eastAsia" w:ascii="仿宋_GB2312" w:hAnsi="仿宋" w:eastAsia="仿宋_GB2312"/>
          <w:sz w:val="28"/>
          <w:szCs w:val="28"/>
        </w:rPr>
        <w:t>“挑战杯”中国大学生创业计划竞赛突出实践导向，在考察项目商业价值的基础上，更加注重考察学生了解社会现状、关注社会民生、解决社会问题的意识、能力和水平。评审要点具体包括项目的社会价值、实践过程、创新意义、发展前景和团队协作等方面。</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_GB2312" w:hAnsi="仿宋" w:eastAsia="仿宋_GB2312"/>
          <w:b/>
          <w:bCs/>
          <w:sz w:val="28"/>
          <w:szCs w:val="28"/>
        </w:rPr>
      </w:pPr>
      <w:r>
        <w:rPr>
          <w:rFonts w:hint="eastAsia" w:ascii="仿宋_GB2312" w:hAnsi="仿宋" w:eastAsia="仿宋_GB2312"/>
          <w:b/>
          <w:bCs/>
          <w:sz w:val="28"/>
          <w:szCs w:val="28"/>
        </w:rPr>
        <w:t>要求报名项目必须有一定的实践成果，如具备了一定的产品或服务原型，有应用合作的案例，有一定的科技含量或商业模式的创新。仅处于构思阶段的项目不建议报名本次遴选活动。已获往届“挑战杯”中国大学生创业计划竞赛、“创青春”全国大学生创业大赛全国金奖或银奖的项目，不可重复报名。</w:t>
      </w:r>
    </w:p>
    <w:p>
      <w:pPr>
        <w:ind w:firstLine="562" w:firstLineChars="200"/>
        <w:rPr>
          <w:rFonts w:hint="eastAsia" w:ascii="仿宋_GB2312" w:hAnsi="仿宋" w:eastAsia="仿宋_GB2312"/>
          <w:sz w:val="28"/>
          <w:szCs w:val="28"/>
        </w:rPr>
      </w:pPr>
      <w:r>
        <w:rPr>
          <w:rFonts w:hint="eastAsia" w:ascii="仿宋_GB2312" w:hAnsi="仿宋" w:eastAsia="仿宋_GB2312"/>
          <w:b/>
          <w:bCs/>
          <w:sz w:val="28"/>
          <w:szCs w:val="28"/>
        </w:rPr>
        <w:t>参赛团队只需上传PPT版商业计划书。</w:t>
      </w:r>
      <w:r>
        <w:rPr>
          <w:rFonts w:hint="eastAsia" w:ascii="仿宋_GB2312" w:hAnsi="仿宋" w:eastAsia="仿宋_GB2312"/>
          <w:sz w:val="28"/>
          <w:szCs w:val="28"/>
        </w:rPr>
        <w:t>对于已工商注册的项目，在报名时可提交相关证明材料（含单位概况、法定代表人情况、营业执照复印件、税务登记证复印件、组织机构代码复印件、股权结构等材料）。已工商注册项目的负责人须为企业法人代表。企业法人代表在通知发布之日后进行变更的不予认可。参赛项目可提供项目实践成效、预期成效等其他相关材料（包括项目的社会效益、经济效益、带动就业情况等）。</w:t>
      </w: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五、遴选工作安排</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参赛团队报名截至3月21日（周一）晚24点，请登陆网站进行报名（</w:t>
      </w:r>
      <w:r>
        <w:rPr>
          <w:rFonts w:hint="eastAsia" w:ascii="仿宋_GB2312" w:hAnsi="仿宋" w:eastAsia="仿宋_GB2312"/>
          <w:sz w:val="28"/>
          <w:szCs w:val="28"/>
        </w:rPr>
        <w:fldChar w:fldCharType="begin"/>
      </w:r>
      <w:r>
        <w:rPr>
          <w:rFonts w:hint="eastAsia" w:ascii="仿宋_GB2312" w:hAnsi="仿宋" w:eastAsia="仿宋_GB2312"/>
          <w:sz w:val="28"/>
          <w:szCs w:val="28"/>
        </w:rPr>
        <w:instrText xml:space="preserve"> HYPERLINK "http://yaolanbei.tiaozhanbei.net/" </w:instrText>
      </w:r>
      <w:r>
        <w:rPr>
          <w:rFonts w:hint="eastAsia" w:ascii="仿宋_GB2312" w:hAnsi="仿宋" w:eastAsia="仿宋_GB2312"/>
          <w:sz w:val="28"/>
          <w:szCs w:val="28"/>
        </w:rPr>
        <w:fldChar w:fldCharType="separate"/>
      </w:r>
      <w:r>
        <w:rPr>
          <w:rFonts w:hint="eastAsia" w:ascii="仿宋_GB2312" w:hAnsi="仿宋" w:eastAsia="仿宋_GB2312"/>
          <w:sz w:val="28"/>
          <w:szCs w:val="28"/>
        </w:rPr>
        <w:t>http://yaolanbei.tiaozhanbei.net/</w:t>
      </w:r>
      <w:r>
        <w:rPr>
          <w:rFonts w:hint="eastAsia" w:ascii="仿宋_GB2312" w:hAnsi="仿宋" w:eastAsia="仿宋_GB2312"/>
          <w:sz w:val="28"/>
          <w:szCs w:val="28"/>
        </w:rPr>
        <w:fldChar w:fldCharType="end"/>
      </w:r>
      <w:r>
        <w:rPr>
          <w:rFonts w:hint="eastAsia" w:ascii="仿宋_GB2312" w:hAnsi="仿宋" w:eastAsia="仿宋_GB2312"/>
          <w:sz w:val="28"/>
          <w:szCs w:val="28"/>
        </w:rPr>
        <w:t>）</w:t>
      </w:r>
      <w:r>
        <w:rPr>
          <w:rFonts w:hint="eastAsia" w:ascii="仿宋_GB2312" w:hAnsi="仿宋" w:eastAsia="仿宋_GB2312"/>
          <w:sz w:val="28"/>
          <w:szCs w:val="28"/>
        </w:rPr>
        <w:t>，选择“比赛入口”，点击“2022年‘挑战杯’首都大学生创业计划竞赛参赛项目遴选”进行报名，</w:t>
      </w:r>
      <w:r>
        <w:rPr>
          <w:rFonts w:hint="eastAsia" w:ascii="仿宋_GB2312" w:hAnsi="仿宋" w:eastAsia="仿宋_GB2312"/>
          <w:b/>
          <w:bCs/>
          <w:sz w:val="28"/>
          <w:szCs w:val="28"/>
        </w:rPr>
        <w:t>系统将于3月18日开放。</w:t>
      </w:r>
      <w:r>
        <w:rPr>
          <w:rFonts w:hint="eastAsia" w:ascii="仿宋_GB2312" w:hAnsi="仿宋" w:eastAsia="仿宋_GB2312"/>
          <w:sz w:val="28"/>
          <w:szCs w:val="28"/>
        </w:rPr>
        <w:t>学校将邀请投资机构投资人、创新创业教育专家进行评审，本次遴选不设奖项，最终推荐15个项目参加首都赛。</w:t>
      </w: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六、参赛奖励</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根据《北京科技大学高水平创新创业竞赛奖励办法》（校发〔2020〕21号），按照“创青春”全国大学生创业大赛的奖励标准（自2020年起“创青春”大赛变更为“挑战杯”创业竞赛），对首都赛和国赛获奖的学生、指导教师进行奖励。此外，对获奖的学生给予科技创新学分认定。推荐保送免试硕士研究生时，学院可参照当年本科毕业生推免工作通知、依据学院保研加分政策给予一定加分。</w:t>
      </w:r>
    </w:p>
    <w:p>
      <w:pPr>
        <w:ind w:firstLine="562" w:firstLineChars="200"/>
        <w:rPr>
          <w:rFonts w:ascii="黑体" w:hAnsi="黑体" w:eastAsia="黑体"/>
          <w:b/>
          <w:bCs/>
          <w:sz w:val="28"/>
          <w:szCs w:val="28"/>
        </w:rPr>
      </w:pPr>
    </w:p>
    <w:p>
      <w:pPr>
        <w:ind w:firstLine="560" w:firstLineChars="200"/>
        <w:rPr>
          <w:rFonts w:ascii="黑体" w:hAnsi="黑体" w:eastAsia="黑体"/>
          <w:b w:val="0"/>
          <w:bCs w:val="0"/>
          <w:sz w:val="28"/>
          <w:szCs w:val="28"/>
        </w:rPr>
      </w:pPr>
      <w:r>
        <w:rPr>
          <w:rFonts w:hint="eastAsia" w:ascii="黑体" w:hAnsi="黑体" w:eastAsia="黑体"/>
          <w:b w:val="0"/>
          <w:bCs w:val="0"/>
          <w:sz w:val="28"/>
          <w:szCs w:val="28"/>
        </w:rPr>
        <w:t>七、2</w:t>
      </w:r>
      <w:r>
        <w:rPr>
          <w:rFonts w:ascii="黑体" w:hAnsi="黑体" w:eastAsia="黑体"/>
          <w:b w:val="0"/>
          <w:bCs w:val="0"/>
          <w:sz w:val="28"/>
          <w:szCs w:val="28"/>
        </w:rPr>
        <w:t>022</w:t>
      </w:r>
      <w:r>
        <w:rPr>
          <w:rFonts w:hint="eastAsia" w:ascii="黑体" w:hAnsi="黑体" w:eastAsia="黑体"/>
          <w:b w:val="0"/>
          <w:bCs w:val="0"/>
          <w:sz w:val="28"/>
          <w:szCs w:val="28"/>
        </w:rPr>
        <w:t>年“挑战杯”首都赛专项赛道和特色活动</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立足北京城市功能定位和发展建设需要，依托“青创北京”工作品牌特色，“挑战杯”首都赛将设置5个专项赛道，分别为：</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1.“青绘团史”文化创意专项赛：以“青春百年路、永远跟党走”为主题，围绕“建团百年”，结合北京青运史，设计开发文化创意类产品或针对文创产业发展提出具有可行性的创业计划方案，突出体现社会价值，生动展现党领导下的百年青年运动历程。</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2.“青振京郊”乡村振兴专项赛：采用“揭榜挂帅”模式，聚焦城乡融合，结合京郊乡村振兴，突出以绿色发展理念引领美丽乡村建设的发展需求，为解决北京“三农”发展的实际问题，由乡镇出榜、学生团队揭榜的形式，根据乡村具体情况提出相应的创业形式及解决方案。</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3.“青创副中心”副中心创业专项赛：采用“揭榜挂帅”模式，围绕副中心高质量发展，创建国家绿色发展示范区、建设通州区与北三县一体化高质量发展示范区，大抓基层治理，聚焦老旧小区治理与物业管理，推动基本公共服务共建共享等主题，由副中心相关单位针对以上主题出榜、学生团队揭榜的形式，提出相应的创业形式及解决方案。</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4.“青力冬奥”冬奥遗产转化专项赛：结合北京作为“双奥之城”的独特优势，立足于北京冬奥遗产的开发与再利用，聚焦文化传播、旅游开发、装备制造、场馆再利用和体育产业发展等，提出具有可行性的创业计划方案。</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5.“青系四海”留学生专项赛：组织外国留学生为首都发展积极贡献青年智慧，助力北京国际交往中心建设，立足自身发展规划和在华留学经历，聚焦国际交往和文化共鉴，提出具有可行性的创业计划方案。</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此外，为进一步增强大赛的群众性、交流性、育人性，扩大“挑战杯”首都赛覆盖面和参与度，以办赛为契机，持续激发首都青年创新创业热情，提升大学生双创能力，营造良好的双创氛围，市赛将以“校地共建、校企对接、校社协同、校间联动”为指引推出多项特色活动。</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“挑战杯”首都赛专项赛道和特色活动的相关通知后续将在“北科大创新创业竞赛”微信公众平台上发布。</w:t>
      </w:r>
    </w:p>
    <w:p>
      <w:pPr>
        <w:ind w:firstLine="560" w:firstLineChars="200"/>
        <w:rPr>
          <w:rFonts w:hint="eastAsia" w:ascii="仿宋_GB2312" w:hAnsi="仿宋" w:eastAsia="仿宋_GB2312"/>
          <w:sz w:val="28"/>
          <w:szCs w:val="28"/>
        </w:rPr>
      </w:pP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工作联系人：</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校团委青年双创服务中心   苏烜  李含奇</w:t>
      </w:r>
    </w:p>
    <w:p>
      <w:pPr>
        <w:ind w:firstLine="560" w:firstLineChars="200"/>
        <w:rPr>
          <w:rFonts w:hint="eastAsia" w:ascii="仿宋_GB2312" w:hAnsi="仿宋" w:eastAsia="仿宋_GB2312"/>
          <w:sz w:val="28"/>
          <w:szCs w:val="28"/>
        </w:rPr>
      </w:pPr>
      <w:r>
        <w:rPr>
          <w:rFonts w:hint="eastAsia" w:ascii="仿宋_GB2312" w:hAnsi="仿宋" w:eastAsia="仿宋_GB2312"/>
          <w:sz w:val="28"/>
          <w:szCs w:val="28"/>
        </w:rPr>
        <w:t>联系邮箱：suxuan@ustb.edu.cn    联系电话：010-62334563</w:t>
      </w:r>
    </w:p>
    <w:p>
      <w:pPr>
        <w:ind w:firstLine="560" w:firstLineChars="200"/>
        <w:rPr>
          <w:rFonts w:hint="eastAsia" w:ascii="仿宋_GB2312" w:hAnsi="仿宋" w:eastAsia="仿宋_GB2312"/>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仿宋_GB2312" w:hAnsi="仿宋" w:eastAsia="仿宋_GB2312"/>
          <w:sz w:val="28"/>
          <w:szCs w:val="28"/>
        </w:rPr>
      </w:pPr>
      <w:r>
        <w:rPr>
          <w:rFonts w:hint="eastAsia" w:ascii="仿宋_GB2312" w:hAnsi="仿宋" w:eastAsia="仿宋_GB2312"/>
          <w:sz w:val="28"/>
          <w:szCs w:val="28"/>
        </w:rPr>
        <w:t>共青团北京科技大学委员会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北京科技大学创新创业中心</w:t>
      </w:r>
    </w:p>
    <w:p>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right"/>
        <w:textAlignment w:val="auto"/>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 xml:space="preserve">北京科技大学教务处   </w:t>
      </w:r>
    </w:p>
    <w:p>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right"/>
        <w:textAlignment w:val="auto"/>
        <w:rPr>
          <w:rFonts w:hint="default" w:ascii="仿宋_GB2312" w:hAnsi="仿宋" w:eastAsia="仿宋_GB2312"/>
          <w:sz w:val="28"/>
          <w:szCs w:val="28"/>
          <w:lang w:val="en-US" w:eastAsia="zh-CN"/>
        </w:rPr>
      </w:pPr>
      <w:r>
        <w:rPr>
          <w:rFonts w:hint="eastAsia" w:ascii="仿宋_GB2312" w:hAnsi="仿宋" w:eastAsia="仿宋_GB2312"/>
          <w:sz w:val="28"/>
          <w:szCs w:val="28"/>
        </w:rPr>
        <w:t>2022年3月14日</w:t>
      </w:r>
      <w:r>
        <w:rPr>
          <w:rFonts w:hint="eastAsia" w:ascii="仿宋_GB2312" w:hAnsi="仿宋" w:eastAsia="仿宋_GB2312"/>
          <w:sz w:val="28"/>
          <w:szCs w:val="28"/>
          <w:lang w:val="en-US" w:eastAsia="zh-CN"/>
        </w:rPr>
        <w:t xml:space="preserve">    </w:t>
      </w:r>
    </w:p>
    <w:sectPr>
      <w:foot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hAnsi="仿宋_GB2312" w:eastAsia="仿宋_GB2312" w:cs="仿宋_GB2312"/>
        <w:sz w:val="21"/>
        <w:szCs w:val="21"/>
      </w:rPr>
      <w:id w:val="2002782971"/>
      <w:docPartObj>
        <w:docPartGallery w:val="autotext"/>
      </w:docPartObj>
    </w:sdtPr>
    <w:sdtEndPr>
      <w:rPr>
        <w:rFonts w:hint="eastAsia" w:ascii="仿宋_GB2312" w:eastAsia="仿宋_GB2312"/>
        <w:sz w:val="21"/>
        <w:szCs w:val="21"/>
      </w:rPr>
    </w:sdtEndPr>
    <w:sdtContent>
      <w:p>
        <w:pPr>
          <w:pStyle w:val="4"/>
          <w:jc w:val="center"/>
          <w:rPr>
            <w:rFonts w:ascii="仿宋_GB2312" w:eastAsia="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PAGE   \* MERGEFORMAT</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lang w:val="zh-CN"/>
          </w:rPr>
          <w:t>5</w:t>
        </w:r>
        <w:r>
          <w:rPr>
            <w:rFonts w:hint="eastAsia" w:ascii="仿宋_GB2312" w:hAnsi="仿宋_GB2312" w:eastAsia="仿宋_GB2312" w:cs="仿宋_GB2312"/>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E87"/>
    <w:rsid w:val="00002E57"/>
    <w:rsid w:val="00017A5C"/>
    <w:rsid w:val="00022007"/>
    <w:rsid w:val="000255A4"/>
    <w:rsid w:val="000275E8"/>
    <w:rsid w:val="00046CE5"/>
    <w:rsid w:val="00050BCA"/>
    <w:rsid w:val="0005760A"/>
    <w:rsid w:val="00057F51"/>
    <w:rsid w:val="00064AB6"/>
    <w:rsid w:val="0008717A"/>
    <w:rsid w:val="000A6726"/>
    <w:rsid w:val="000B10B0"/>
    <w:rsid w:val="000C11C7"/>
    <w:rsid w:val="000C521E"/>
    <w:rsid w:val="000E7DE0"/>
    <w:rsid w:val="000F0E2C"/>
    <w:rsid w:val="000F2CE4"/>
    <w:rsid w:val="0010535B"/>
    <w:rsid w:val="001149CA"/>
    <w:rsid w:val="00117216"/>
    <w:rsid w:val="00130DFD"/>
    <w:rsid w:val="00130E08"/>
    <w:rsid w:val="00144B51"/>
    <w:rsid w:val="00147C85"/>
    <w:rsid w:val="00151458"/>
    <w:rsid w:val="00157356"/>
    <w:rsid w:val="00161632"/>
    <w:rsid w:val="0016509D"/>
    <w:rsid w:val="001759CC"/>
    <w:rsid w:val="00176888"/>
    <w:rsid w:val="00190D8F"/>
    <w:rsid w:val="00192551"/>
    <w:rsid w:val="001937D9"/>
    <w:rsid w:val="001A562A"/>
    <w:rsid w:val="001A5F30"/>
    <w:rsid w:val="001A71F0"/>
    <w:rsid w:val="001C1887"/>
    <w:rsid w:val="001C5B62"/>
    <w:rsid w:val="001C5EF6"/>
    <w:rsid w:val="001D0300"/>
    <w:rsid w:val="001D5CDD"/>
    <w:rsid w:val="001D7333"/>
    <w:rsid w:val="001E7291"/>
    <w:rsid w:val="001F5420"/>
    <w:rsid w:val="00201615"/>
    <w:rsid w:val="00212C4B"/>
    <w:rsid w:val="00214A68"/>
    <w:rsid w:val="0021771D"/>
    <w:rsid w:val="002206C2"/>
    <w:rsid w:val="00222C72"/>
    <w:rsid w:val="00222FC1"/>
    <w:rsid w:val="00224C75"/>
    <w:rsid w:val="00237F38"/>
    <w:rsid w:val="002425DB"/>
    <w:rsid w:val="002439D9"/>
    <w:rsid w:val="00255042"/>
    <w:rsid w:val="0025539A"/>
    <w:rsid w:val="002618A0"/>
    <w:rsid w:val="00261D65"/>
    <w:rsid w:val="00275346"/>
    <w:rsid w:val="00276D5C"/>
    <w:rsid w:val="00276D90"/>
    <w:rsid w:val="00283403"/>
    <w:rsid w:val="002865ED"/>
    <w:rsid w:val="00287508"/>
    <w:rsid w:val="00291343"/>
    <w:rsid w:val="002A488B"/>
    <w:rsid w:val="002A6620"/>
    <w:rsid w:val="002B002D"/>
    <w:rsid w:val="002B54CB"/>
    <w:rsid w:val="002C1850"/>
    <w:rsid w:val="002C3523"/>
    <w:rsid w:val="002C52C0"/>
    <w:rsid w:val="002C5617"/>
    <w:rsid w:val="002D5134"/>
    <w:rsid w:val="002D59AA"/>
    <w:rsid w:val="002D7858"/>
    <w:rsid w:val="002E53E4"/>
    <w:rsid w:val="003069D3"/>
    <w:rsid w:val="00313164"/>
    <w:rsid w:val="00322CF7"/>
    <w:rsid w:val="00340E33"/>
    <w:rsid w:val="00344041"/>
    <w:rsid w:val="00363151"/>
    <w:rsid w:val="0036483C"/>
    <w:rsid w:val="003657B9"/>
    <w:rsid w:val="003706AD"/>
    <w:rsid w:val="00374090"/>
    <w:rsid w:val="003A7251"/>
    <w:rsid w:val="003B0B93"/>
    <w:rsid w:val="003C18A0"/>
    <w:rsid w:val="003D218F"/>
    <w:rsid w:val="003D515D"/>
    <w:rsid w:val="003E53E2"/>
    <w:rsid w:val="003F5AE5"/>
    <w:rsid w:val="00420581"/>
    <w:rsid w:val="00421C27"/>
    <w:rsid w:val="00426D8C"/>
    <w:rsid w:val="00432B9C"/>
    <w:rsid w:val="004430CA"/>
    <w:rsid w:val="00443B6A"/>
    <w:rsid w:val="00450397"/>
    <w:rsid w:val="00450A6F"/>
    <w:rsid w:val="00450F6E"/>
    <w:rsid w:val="00456160"/>
    <w:rsid w:val="00483F4A"/>
    <w:rsid w:val="004845DD"/>
    <w:rsid w:val="0048797A"/>
    <w:rsid w:val="00495486"/>
    <w:rsid w:val="004A0353"/>
    <w:rsid w:val="004A0D5C"/>
    <w:rsid w:val="004C5061"/>
    <w:rsid w:val="004D6366"/>
    <w:rsid w:val="004E67D3"/>
    <w:rsid w:val="0051129B"/>
    <w:rsid w:val="00514477"/>
    <w:rsid w:val="00530855"/>
    <w:rsid w:val="00530877"/>
    <w:rsid w:val="00534751"/>
    <w:rsid w:val="00535837"/>
    <w:rsid w:val="00537DEF"/>
    <w:rsid w:val="00546B0B"/>
    <w:rsid w:val="005520CA"/>
    <w:rsid w:val="005526D7"/>
    <w:rsid w:val="00552D47"/>
    <w:rsid w:val="005601C1"/>
    <w:rsid w:val="00561951"/>
    <w:rsid w:val="0056323C"/>
    <w:rsid w:val="00570335"/>
    <w:rsid w:val="00572660"/>
    <w:rsid w:val="00574140"/>
    <w:rsid w:val="00577799"/>
    <w:rsid w:val="00577D3E"/>
    <w:rsid w:val="005916CE"/>
    <w:rsid w:val="0059203F"/>
    <w:rsid w:val="005937C9"/>
    <w:rsid w:val="005B4475"/>
    <w:rsid w:val="005B57B3"/>
    <w:rsid w:val="005C3E54"/>
    <w:rsid w:val="005D210B"/>
    <w:rsid w:val="005D7AFD"/>
    <w:rsid w:val="005E5DAE"/>
    <w:rsid w:val="00603363"/>
    <w:rsid w:val="006042A2"/>
    <w:rsid w:val="006044CA"/>
    <w:rsid w:val="006046C1"/>
    <w:rsid w:val="00610AEF"/>
    <w:rsid w:val="00613A97"/>
    <w:rsid w:val="00613B42"/>
    <w:rsid w:val="00615068"/>
    <w:rsid w:val="006177F7"/>
    <w:rsid w:val="00624B23"/>
    <w:rsid w:val="00626E0D"/>
    <w:rsid w:val="00626F13"/>
    <w:rsid w:val="00632A2B"/>
    <w:rsid w:val="00632A5D"/>
    <w:rsid w:val="00636E9E"/>
    <w:rsid w:val="00636FB5"/>
    <w:rsid w:val="00641791"/>
    <w:rsid w:val="006505A3"/>
    <w:rsid w:val="00651BC3"/>
    <w:rsid w:val="006520DA"/>
    <w:rsid w:val="00655FCB"/>
    <w:rsid w:val="00657897"/>
    <w:rsid w:val="00683D44"/>
    <w:rsid w:val="006920AE"/>
    <w:rsid w:val="006974B3"/>
    <w:rsid w:val="006A3173"/>
    <w:rsid w:val="006A4C30"/>
    <w:rsid w:val="006A6AF5"/>
    <w:rsid w:val="006C0494"/>
    <w:rsid w:val="006C34AB"/>
    <w:rsid w:val="006C4455"/>
    <w:rsid w:val="006E4CB6"/>
    <w:rsid w:val="006E6170"/>
    <w:rsid w:val="006F0B07"/>
    <w:rsid w:val="006F61B5"/>
    <w:rsid w:val="006F7B39"/>
    <w:rsid w:val="0070207A"/>
    <w:rsid w:val="00702D11"/>
    <w:rsid w:val="00705323"/>
    <w:rsid w:val="00716BE5"/>
    <w:rsid w:val="00724379"/>
    <w:rsid w:val="00737122"/>
    <w:rsid w:val="00742A53"/>
    <w:rsid w:val="00744105"/>
    <w:rsid w:val="007514C1"/>
    <w:rsid w:val="00752E60"/>
    <w:rsid w:val="00753064"/>
    <w:rsid w:val="00756474"/>
    <w:rsid w:val="00760945"/>
    <w:rsid w:val="00762E11"/>
    <w:rsid w:val="00766903"/>
    <w:rsid w:val="0078421B"/>
    <w:rsid w:val="00784429"/>
    <w:rsid w:val="00786323"/>
    <w:rsid w:val="00787C4C"/>
    <w:rsid w:val="00792F98"/>
    <w:rsid w:val="007945A0"/>
    <w:rsid w:val="00797C3E"/>
    <w:rsid w:val="007A4157"/>
    <w:rsid w:val="007B0BCC"/>
    <w:rsid w:val="007B2F01"/>
    <w:rsid w:val="007B65E6"/>
    <w:rsid w:val="007B7E6C"/>
    <w:rsid w:val="007D3464"/>
    <w:rsid w:val="007E1BE0"/>
    <w:rsid w:val="007E5FD5"/>
    <w:rsid w:val="00803235"/>
    <w:rsid w:val="00804111"/>
    <w:rsid w:val="00813A8C"/>
    <w:rsid w:val="00816672"/>
    <w:rsid w:val="00816AD1"/>
    <w:rsid w:val="00821E28"/>
    <w:rsid w:val="00823577"/>
    <w:rsid w:val="008247EA"/>
    <w:rsid w:val="008311D6"/>
    <w:rsid w:val="008451BF"/>
    <w:rsid w:val="0085121B"/>
    <w:rsid w:val="008524C8"/>
    <w:rsid w:val="00866A8C"/>
    <w:rsid w:val="0087165D"/>
    <w:rsid w:val="00875A80"/>
    <w:rsid w:val="008826E3"/>
    <w:rsid w:val="0089311A"/>
    <w:rsid w:val="008A2360"/>
    <w:rsid w:val="008A766C"/>
    <w:rsid w:val="008A7F91"/>
    <w:rsid w:val="008C5E1E"/>
    <w:rsid w:val="008D450B"/>
    <w:rsid w:val="008D6D7F"/>
    <w:rsid w:val="008E1C34"/>
    <w:rsid w:val="008E5BD4"/>
    <w:rsid w:val="008E6EE3"/>
    <w:rsid w:val="008F204E"/>
    <w:rsid w:val="008F72A5"/>
    <w:rsid w:val="00906D58"/>
    <w:rsid w:val="00912123"/>
    <w:rsid w:val="009159B4"/>
    <w:rsid w:val="00920ADC"/>
    <w:rsid w:val="009237E5"/>
    <w:rsid w:val="00930AC4"/>
    <w:rsid w:val="00933B93"/>
    <w:rsid w:val="009406A6"/>
    <w:rsid w:val="0094403A"/>
    <w:rsid w:val="00946F29"/>
    <w:rsid w:val="00950956"/>
    <w:rsid w:val="00975D12"/>
    <w:rsid w:val="00985DE3"/>
    <w:rsid w:val="0099607B"/>
    <w:rsid w:val="0099727B"/>
    <w:rsid w:val="009B34C7"/>
    <w:rsid w:val="009B37E0"/>
    <w:rsid w:val="009C0C02"/>
    <w:rsid w:val="009C357C"/>
    <w:rsid w:val="009C46A8"/>
    <w:rsid w:val="009C7115"/>
    <w:rsid w:val="009D18B6"/>
    <w:rsid w:val="009E067B"/>
    <w:rsid w:val="009E114A"/>
    <w:rsid w:val="009E6627"/>
    <w:rsid w:val="009E78BB"/>
    <w:rsid w:val="009E7F68"/>
    <w:rsid w:val="00A060F0"/>
    <w:rsid w:val="00A061ED"/>
    <w:rsid w:val="00A17E87"/>
    <w:rsid w:val="00A40C98"/>
    <w:rsid w:val="00A42EC9"/>
    <w:rsid w:val="00A45D3A"/>
    <w:rsid w:val="00A6068F"/>
    <w:rsid w:val="00A70A72"/>
    <w:rsid w:val="00A718CB"/>
    <w:rsid w:val="00A75005"/>
    <w:rsid w:val="00A83464"/>
    <w:rsid w:val="00A96071"/>
    <w:rsid w:val="00AA7BF6"/>
    <w:rsid w:val="00AB3608"/>
    <w:rsid w:val="00AE5CC0"/>
    <w:rsid w:val="00B05CA0"/>
    <w:rsid w:val="00B07485"/>
    <w:rsid w:val="00B1359F"/>
    <w:rsid w:val="00B35BA6"/>
    <w:rsid w:val="00B3609C"/>
    <w:rsid w:val="00B56EB7"/>
    <w:rsid w:val="00B7066A"/>
    <w:rsid w:val="00B84B70"/>
    <w:rsid w:val="00B95DA9"/>
    <w:rsid w:val="00B9645E"/>
    <w:rsid w:val="00B97A8D"/>
    <w:rsid w:val="00B97F24"/>
    <w:rsid w:val="00BA1BE2"/>
    <w:rsid w:val="00BA5A3D"/>
    <w:rsid w:val="00BF10AA"/>
    <w:rsid w:val="00BF2E77"/>
    <w:rsid w:val="00BF6DAB"/>
    <w:rsid w:val="00C0232F"/>
    <w:rsid w:val="00C07238"/>
    <w:rsid w:val="00C2008D"/>
    <w:rsid w:val="00C27B6D"/>
    <w:rsid w:val="00C61EFD"/>
    <w:rsid w:val="00C62867"/>
    <w:rsid w:val="00C6540E"/>
    <w:rsid w:val="00C70818"/>
    <w:rsid w:val="00C805E7"/>
    <w:rsid w:val="00C96A0D"/>
    <w:rsid w:val="00CA1634"/>
    <w:rsid w:val="00CA6666"/>
    <w:rsid w:val="00CB23D0"/>
    <w:rsid w:val="00CC32B4"/>
    <w:rsid w:val="00CC693A"/>
    <w:rsid w:val="00CD152A"/>
    <w:rsid w:val="00CD17F2"/>
    <w:rsid w:val="00CD1E6F"/>
    <w:rsid w:val="00CE7138"/>
    <w:rsid w:val="00CE7D0F"/>
    <w:rsid w:val="00CF4970"/>
    <w:rsid w:val="00D11585"/>
    <w:rsid w:val="00D22D3D"/>
    <w:rsid w:val="00D260BC"/>
    <w:rsid w:val="00D40238"/>
    <w:rsid w:val="00D466AE"/>
    <w:rsid w:val="00D50A99"/>
    <w:rsid w:val="00D5547D"/>
    <w:rsid w:val="00D6665F"/>
    <w:rsid w:val="00D67A5D"/>
    <w:rsid w:val="00D91FCE"/>
    <w:rsid w:val="00DA0D3C"/>
    <w:rsid w:val="00DA4C3C"/>
    <w:rsid w:val="00DC220B"/>
    <w:rsid w:val="00DC606F"/>
    <w:rsid w:val="00DD5361"/>
    <w:rsid w:val="00DE44C6"/>
    <w:rsid w:val="00DE46C5"/>
    <w:rsid w:val="00DE4F8D"/>
    <w:rsid w:val="00DE7E8B"/>
    <w:rsid w:val="00DF304C"/>
    <w:rsid w:val="00E0319C"/>
    <w:rsid w:val="00E0408F"/>
    <w:rsid w:val="00E07BD6"/>
    <w:rsid w:val="00E10312"/>
    <w:rsid w:val="00E10C8B"/>
    <w:rsid w:val="00E132B5"/>
    <w:rsid w:val="00E15B2B"/>
    <w:rsid w:val="00E16847"/>
    <w:rsid w:val="00E253A1"/>
    <w:rsid w:val="00E2588B"/>
    <w:rsid w:val="00E26926"/>
    <w:rsid w:val="00E61DAC"/>
    <w:rsid w:val="00E6237E"/>
    <w:rsid w:val="00E6476C"/>
    <w:rsid w:val="00E65B9A"/>
    <w:rsid w:val="00E65FB5"/>
    <w:rsid w:val="00E66CFE"/>
    <w:rsid w:val="00E816D3"/>
    <w:rsid w:val="00E8220C"/>
    <w:rsid w:val="00E86154"/>
    <w:rsid w:val="00EA2B04"/>
    <w:rsid w:val="00EA2D83"/>
    <w:rsid w:val="00EA7285"/>
    <w:rsid w:val="00EC1D72"/>
    <w:rsid w:val="00EC1EB7"/>
    <w:rsid w:val="00EC29C9"/>
    <w:rsid w:val="00EC54C0"/>
    <w:rsid w:val="00ED162D"/>
    <w:rsid w:val="00ED1E49"/>
    <w:rsid w:val="00F02A21"/>
    <w:rsid w:val="00F11BE9"/>
    <w:rsid w:val="00F12502"/>
    <w:rsid w:val="00F23F8F"/>
    <w:rsid w:val="00F41DE5"/>
    <w:rsid w:val="00F4793A"/>
    <w:rsid w:val="00F51979"/>
    <w:rsid w:val="00F52F5D"/>
    <w:rsid w:val="00F60677"/>
    <w:rsid w:val="00F610E8"/>
    <w:rsid w:val="00F73725"/>
    <w:rsid w:val="00F768F4"/>
    <w:rsid w:val="00F803A1"/>
    <w:rsid w:val="00F80B13"/>
    <w:rsid w:val="00F842E6"/>
    <w:rsid w:val="00F965A0"/>
    <w:rsid w:val="00FB4C68"/>
    <w:rsid w:val="00FB5A3D"/>
    <w:rsid w:val="00FB74E6"/>
    <w:rsid w:val="00FC4B21"/>
    <w:rsid w:val="00FD3E49"/>
    <w:rsid w:val="00FE2D53"/>
    <w:rsid w:val="00FE4B55"/>
    <w:rsid w:val="00FE7406"/>
    <w:rsid w:val="00FF67CE"/>
    <w:rsid w:val="122C7902"/>
    <w:rsid w:val="3404670A"/>
    <w:rsid w:val="3925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uiPriority w:val="99"/>
    <w:rPr>
      <w:color w:val="954F72" w:themeColor="followedHyperlink"/>
      <w:u w:val="single"/>
      <w14:textFill>
        <w14:solidFill>
          <w14:schemeClr w14:val="folHlink"/>
        </w14:solidFill>
      </w14:textFill>
    </w:rPr>
  </w:style>
  <w:style w:type="character" w:styleId="10">
    <w:name w:val="Hyperlink"/>
    <w:basedOn w:val="8"/>
    <w:unhideWhenUsed/>
    <w:uiPriority w:val="99"/>
    <w:rPr>
      <w:color w:val="0563C1" w:themeColor="hyperlink"/>
      <w:u w:val="single"/>
      <w14:textFill>
        <w14:solidFill>
          <w14:schemeClr w14:val="hlink"/>
        </w14:solidFill>
      </w14:textFill>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sz w:val="18"/>
      <w:szCs w:val="18"/>
    </w:rPr>
  </w:style>
  <w:style w:type="paragraph" w:customStyle="1" w:styleId="14">
    <w:name w:val="Char"/>
    <w:basedOn w:val="1"/>
    <w:qFormat/>
    <w:uiPriority w:val="0"/>
    <w:rPr>
      <w:rFonts w:ascii="Times New Roman" w:hAnsi="Times New Roman" w:eastAsia="宋体" w:cs="Times New Roman"/>
      <w:szCs w:val="20"/>
    </w:rPr>
  </w:style>
  <w:style w:type="character" w:customStyle="1" w:styleId="15">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479</Words>
  <Characters>2733</Characters>
  <Lines>22</Lines>
  <Paragraphs>6</Paragraphs>
  <TotalTime>385</TotalTime>
  <ScaleCrop>false</ScaleCrop>
  <LinksUpToDate>false</LinksUpToDate>
  <CharactersWithSpaces>3206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2020-06-04T13:04:00Z</dcterms:created>
  <dc:creator>Shawn</dc:creator>
  <cp:lastModifiedBy>吃糖不吃苦.</cp:lastModifiedBy>
  <cp:lastPrinted>2020-07-13T02:26:00Z</cp:lastPrinted>
  <dcterms:modified xsi:type="dcterms:W3CDTF">2022-03-14T07:50:09Z</dcterms:modified>
  <cp:revision>1650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01E8F8A2C21C41F9953CCA1347409A29</vt:lpwstr>
  </property>
</Properties>
</file>