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32" w:rsidRPr="001A7D32" w:rsidRDefault="001A7D32" w:rsidP="001A7D32">
      <w:pPr>
        <w:widowControl/>
        <w:shd w:val="clear" w:color="auto" w:fill="FFFFFF"/>
        <w:jc w:val="center"/>
        <w:outlineLvl w:val="0"/>
        <w:rPr>
          <w:rFonts w:ascii="微软雅黑" w:eastAsia="微软雅黑" w:hAnsi="微软雅黑" w:cs="宋体"/>
          <w:b/>
          <w:bCs/>
          <w:color w:val="4B4B4B"/>
          <w:kern w:val="36"/>
          <w:sz w:val="30"/>
          <w:szCs w:val="30"/>
        </w:rPr>
      </w:pPr>
      <w:r w:rsidRPr="001A7D32">
        <w:rPr>
          <w:rFonts w:ascii="微软雅黑" w:eastAsia="微软雅黑" w:hAnsi="微软雅黑" w:cs="宋体" w:hint="eastAsia"/>
          <w:b/>
          <w:bCs/>
          <w:color w:val="4B4B4B"/>
          <w:kern w:val="36"/>
          <w:sz w:val="30"/>
          <w:szCs w:val="30"/>
        </w:rPr>
        <w:t>教育部关于印发《本科毕业论文（设计）</w:t>
      </w:r>
      <w:r w:rsidRPr="001A7D32">
        <w:rPr>
          <w:rFonts w:ascii="微软雅黑" w:eastAsia="微软雅黑" w:hAnsi="微软雅黑" w:cs="宋体" w:hint="eastAsia"/>
          <w:b/>
          <w:bCs/>
          <w:color w:val="4B4B4B"/>
          <w:kern w:val="36"/>
          <w:sz w:val="30"/>
          <w:szCs w:val="30"/>
        </w:rPr>
        <w:br/>
        <w:t>抽检办法（试行）》的通知</w:t>
      </w:r>
    </w:p>
    <w:p w:rsidR="001A7D32" w:rsidRPr="001A7D32" w:rsidRDefault="001A7D32" w:rsidP="001A7D32">
      <w:pPr>
        <w:widowControl/>
        <w:shd w:val="clear" w:color="auto" w:fill="FFFFFF"/>
        <w:spacing w:line="480" w:lineRule="atLeast"/>
        <w:jc w:val="right"/>
        <w:rPr>
          <w:rFonts w:ascii="微软雅黑" w:eastAsia="微软雅黑" w:hAnsi="微软雅黑" w:cs="宋体"/>
          <w:color w:val="4B4B4B"/>
          <w:kern w:val="0"/>
          <w:sz w:val="24"/>
          <w:szCs w:val="24"/>
        </w:rPr>
      </w:pPr>
      <w:r w:rsidRPr="001A7D32">
        <w:rPr>
          <w:rFonts w:ascii="微软雅黑" w:eastAsia="微软雅黑" w:hAnsi="微软雅黑" w:cs="宋体" w:hint="eastAsia"/>
          <w:color w:val="4B4B4B"/>
          <w:kern w:val="0"/>
          <w:sz w:val="24"/>
          <w:szCs w:val="24"/>
        </w:rPr>
        <w:t>教督〔2020〕5号</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各省、自治区、直辖市教育厅（教委），新疆生产建设兵团教育局，有关部门（单位）教育司（局），部属各高等学校、部省合建各高等学校：</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为贯彻落实《深化新时代教育评价改革总体方案》和《关于深化新时代教育督导体制机制改革的意见》，加强和改进教育督导评估监测，保证本科人才培养基本质量，特制定《本科毕业论文（设计）抽检办法（试行）》。现将该办法印发给你们，请遵照执行。</w:t>
      </w:r>
    </w:p>
    <w:p w:rsidR="001A7D32" w:rsidRPr="001A7D32" w:rsidRDefault="001A7D32" w:rsidP="001A7D32">
      <w:pPr>
        <w:widowControl/>
        <w:shd w:val="clear" w:color="auto" w:fill="FFFFFF"/>
        <w:spacing w:line="480" w:lineRule="atLeast"/>
        <w:jc w:val="righ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教育部</w:t>
      </w:r>
    </w:p>
    <w:p w:rsidR="001A7D32" w:rsidRPr="001A7D32" w:rsidRDefault="001A7D32" w:rsidP="001A7D32">
      <w:pPr>
        <w:widowControl/>
        <w:shd w:val="clear" w:color="auto" w:fill="FFFFFF"/>
        <w:spacing w:line="480" w:lineRule="atLeast"/>
        <w:jc w:val="righ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2020年12月24日</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本科毕业论文（设计）抽检办法（试行）</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第一章 总则</w:t>
      </w:r>
      <w:bookmarkStart w:id="0" w:name="_GoBack"/>
      <w:bookmarkEnd w:id="0"/>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第一条 按照《深化新时代教育评价改革总体方案》和《关于深化新时代教育督导体制机制改革的意见》要求，为加强和改进教育督导评估监测，做好本科毕业论文（设计）（以下简称本科毕业论文）抽检工作，保证本科人才培养基本质量，制定本办法。</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第二条 教育部负责本科毕业论文抽检的统筹组织和监督，省级教育行政部门负责本地区本科毕业论文抽检的具体实施。其中，中国人民解放军有关部门负责军队系统本科毕业论文抽检的具体实施。</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第三条 本科毕业论文抽检工作应遵循独立、客观、科学、公正原则，任何单位和个人都不得以任何方式干扰抽检工作的正常进行。</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lastRenderedPageBreak/>
        <w:t xml:space="preserve">　　第四条 本科毕业论文抽检每年进行一次，抽检对象为上一学年度授予学士学位的论文，抽检比例原则上应不低于2%。</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第二章 评议要素和重点</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第五条 省级教育行政部门要参照《普通高等学校本科专业类教学质量国家标准》等要求，结合本地区工作实际，按照《普通高等学校本科专业目录（2020年版）》学科门类分别制定本科毕业论文抽检评议要素。</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第六条 本科毕业论文抽检应重点对选题意义、写作安排、逻辑构建、专业能力以及学术规范等进行考察。</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第三章 工作程序</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第七条 教育部建立全国本科毕业论文抽检信息平台（以下简称抽检信息平台），面向省级教育行政部门提供学术不端行为检测、毕业论文提取和专家评审等定制功能，对各省级教育行政部门开展本科毕业论文抽检工作实行全过程监督。</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第八条 省级教育行政部门基于抽检信息平台和本地区学士学位授予信息，采取随机抽取的方式确定抽检名单。抽检论文要覆盖本地区所有本科层次普通高校及其全部本科专业。</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第九条 省级教育行政部门利用抽检信息平台对抽检论文进行学术不端行为检测，检测结果供专家评审参考。</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第十条 省级教育行政部门采取随机匹配方式组织同行专家对抽检论文进行评议，提出评议意见。每篇论文送3位同行专家，3位专家中有2位以上（含2位）专家评议意见为“不合格”的毕业论文，将认定为“存在问题毕业论文”。3位专家中有1位专家评议意见为“不合格”，将再送2位同行专家进行复评。2位复评专家中有1位以上（含1位）专家评议意见为“不合格”，将认定为“存在问题毕业论文”。</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第四章 结果反馈与使用</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第十一条 本科毕业论文抽检结果由省级教育行政部门向有关高校反馈、抄送省级学位委员会，同时报教育部备案。</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第十二条 本科毕业论文抽检结果的使用。</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（一）抽检结果以适当方式向社会公开。</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二）对连续2年均有“存在问题毕业论文”，且比例较高或篇数较多的高校，省级教育行政部门应在本省域内予以通报，减少其招生计划，并进行质量约谈，提出限期整改要求。高校应对有关部门、学院和个人的人才培养责任落实情况进行调查，依据有关规定予以追责。</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（三）对连续3年抽检存在问题较多的本科专业，经整改仍无法达到要求者，视为不能保证培养质量，省级教育行政部门应依据有关规定责令其暂停招生，或由省级学位委员会撤销其学士学位授权点。</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（四）对涉嫌存在抄袭、剽窃、伪造、篡改、买卖、代写等学术不端行为的毕业论文，高校应按照相关程序进行调查核实，对查实的应依法撤销已授予学位，并注销学位证书。</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（五）抽检结果将作为本科教育教学评估、一流本科专业建设、本科专业认证以及专业建设经费投入等教育资源配置的重要参考依据。</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第五章 监督与保障</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第十三条 教育部定期对各省级教育行政部门本科毕业论文抽检工作情况开展监督检查，并将工作情况纳入省级人民政府履行教育职责评价的范畴。</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第十四条 省级教育行政部门应保障本科毕业论文抽检工作经费，列入年度工作预算，确保抽检工作顺利开展。</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第十五条 省级教育行政部门应建立本科毕业论文抽检申诉机制，规范申诉处理程序，保障有关高校和学生的合法权益。</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第十六条 各有关高校应按照所在地省级教育行政部门的有关要求，积极配合本科毕业论文抽检工作，准确完整地提供本科毕业论文、学位授予信息等材料。</w:t>
      </w:r>
    </w:p>
    <w:p w:rsidR="001A7D32" w:rsidRPr="001A7D32" w:rsidRDefault="001A7D32" w:rsidP="001A7D32">
      <w:pPr>
        <w:widowControl/>
        <w:shd w:val="clear" w:color="auto" w:fill="FFFFFF"/>
        <w:spacing w:line="480" w:lineRule="atLeast"/>
        <w:jc w:val="center"/>
        <w:rPr>
          <w:rFonts w:ascii="微软雅黑" w:eastAsia="微软雅黑" w:hAnsi="微软雅黑" w:cs="宋体"/>
          <w:color w:val="4B4B4B"/>
          <w:kern w:val="0"/>
          <w:sz w:val="27"/>
          <w:szCs w:val="27"/>
        </w:rPr>
      </w:pPr>
      <w:r w:rsidRPr="001A7D32">
        <w:rPr>
          <w:rFonts w:ascii="微软雅黑" w:eastAsia="微软雅黑" w:hAnsi="微软雅黑" w:cs="宋体" w:hint="eastAsia"/>
          <w:b/>
          <w:bCs/>
          <w:color w:val="4B4B4B"/>
          <w:kern w:val="0"/>
          <w:sz w:val="27"/>
          <w:szCs w:val="27"/>
          <w:bdr w:val="none" w:sz="0" w:space="0" w:color="auto" w:frame="1"/>
        </w:rPr>
        <w:t>第六章 附则</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第十七条 省级教育行政部门要参照本办法，结合地方实际，制定本省（区、市）本科毕业论文抽检工作实施细则，并报教育部备案。</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第十八条 本办法由教育部负责解释。</w:t>
      </w:r>
    </w:p>
    <w:p w:rsidR="001A7D32" w:rsidRPr="001A7D32" w:rsidRDefault="001A7D32" w:rsidP="001A7D32">
      <w:pPr>
        <w:widowControl/>
        <w:shd w:val="clear" w:color="auto" w:fill="FFFFFF"/>
        <w:spacing w:line="480" w:lineRule="atLeast"/>
        <w:jc w:val="left"/>
        <w:rPr>
          <w:rFonts w:ascii="微软雅黑" w:eastAsia="微软雅黑" w:hAnsi="微软雅黑" w:cs="宋体"/>
          <w:color w:val="4B4B4B"/>
          <w:kern w:val="0"/>
          <w:sz w:val="27"/>
          <w:szCs w:val="27"/>
        </w:rPr>
      </w:pPr>
      <w:r w:rsidRPr="001A7D32">
        <w:rPr>
          <w:rFonts w:ascii="微软雅黑" w:eastAsia="微软雅黑" w:hAnsi="微软雅黑" w:cs="宋体" w:hint="eastAsia"/>
          <w:color w:val="4B4B4B"/>
          <w:kern w:val="0"/>
          <w:sz w:val="27"/>
          <w:szCs w:val="27"/>
        </w:rPr>
        <w:t xml:space="preserve">　　第十九条 本办法自2021年1月1日起施行。</w:t>
      </w:r>
    </w:p>
    <w:p w:rsidR="00785DED" w:rsidRDefault="00C1169B"/>
    <w:sectPr w:rsidR="00785DED" w:rsidSect="009C55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69B" w:rsidRDefault="00C1169B" w:rsidP="002821C6">
      <w:r>
        <w:separator/>
      </w:r>
    </w:p>
  </w:endnote>
  <w:endnote w:type="continuationSeparator" w:id="0">
    <w:p w:rsidR="00C1169B" w:rsidRDefault="00C1169B" w:rsidP="0028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69B" w:rsidRDefault="00C1169B" w:rsidP="002821C6">
      <w:r>
        <w:separator/>
      </w:r>
    </w:p>
  </w:footnote>
  <w:footnote w:type="continuationSeparator" w:id="0">
    <w:p w:rsidR="00C1169B" w:rsidRDefault="00C1169B" w:rsidP="00282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D32"/>
    <w:rsid w:val="001A7D32"/>
    <w:rsid w:val="002821C6"/>
    <w:rsid w:val="002E3C5B"/>
    <w:rsid w:val="0059155F"/>
    <w:rsid w:val="006C20FB"/>
    <w:rsid w:val="00747133"/>
    <w:rsid w:val="00755178"/>
    <w:rsid w:val="00984050"/>
    <w:rsid w:val="009C3E21"/>
    <w:rsid w:val="009C55F5"/>
    <w:rsid w:val="00C1169B"/>
    <w:rsid w:val="00C75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5F5"/>
    <w:pPr>
      <w:widowControl w:val="0"/>
      <w:jc w:val="both"/>
    </w:pPr>
  </w:style>
  <w:style w:type="paragraph" w:styleId="1">
    <w:name w:val="heading 1"/>
    <w:basedOn w:val="a"/>
    <w:link w:val="1Char"/>
    <w:uiPriority w:val="9"/>
    <w:qFormat/>
    <w:rsid w:val="001A7D3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7D32"/>
    <w:rPr>
      <w:rFonts w:ascii="宋体" w:eastAsia="宋体" w:hAnsi="宋体" w:cs="宋体"/>
      <w:b/>
      <w:bCs/>
      <w:kern w:val="36"/>
      <w:sz w:val="48"/>
      <w:szCs w:val="48"/>
    </w:rPr>
  </w:style>
  <w:style w:type="paragraph" w:styleId="a3">
    <w:name w:val="Normal (Web)"/>
    <w:basedOn w:val="a"/>
    <w:uiPriority w:val="99"/>
    <w:semiHidden/>
    <w:unhideWhenUsed/>
    <w:rsid w:val="001A7D3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2821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821C6"/>
    <w:rPr>
      <w:sz w:val="18"/>
      <w:szCs w:val="18"/>
    </w:rPr>
  </w:style>
  <w:style w:type="paragraph" w:styleId="a5">
    <w:name w:val="footer"/>
    <w:basedOn w:val="a"/>
    <w:link w:val="Char0"/>
    <w:uiPriority w:val="99"/>
    <w:unhideWhenUsed/>
    <w:rsid w:val="002821C6"/>
    <w:pPr>
      <w:tabs>
        <w:tab w:val="center" w:pos="4153"/>
        <w:tab w:val="right" w:pos="8306"/>
      </w:tabs>
      <w:snapToGrid w:val="0"/>
      <w:jc w:val="left"/>
    </w:pPr>
    <w:rPr>
      <w:sz w:val="18"/>
      <w:szCs w:val="18"/>
    </w:rPr>
  </w:style>
  <w:style w:type="character" w:customStyle="1" w:styleId="Char0">
    <w:name w:val="页脚 Char"/>
    <w:basedOn w:val="a0"/>
    <w:link w:val="a5"/>
    <w:uiPriority w:val="99"/>
    <w:rsid w:val="002821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46803">
      <w:bodyDiv w:val="1"/>
      <w:marLeft w:val="0"/>
      <w:marRight w:val="0"/>
      <w:marTop w:val="0"/>
      <w:marBottom w:val="0"/>
      <w:divBdr>
        <w:top w:val="none" w:sz="0" w:space="0" w:color="auto"/>
        <w:left w:val="none" w:sz="0" w:space="0" w:color="auto"/>
        <w:bottom w:val="none" w:sz="0" w:space="0" w:color="auto"/>
        <w:right w:val="none" w:sz="0" w:space="0" w:color="auto"/>
      </w:divBdr>
      <w:divsChild>
        <w:div w:id="1240671083">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dc:creator>
  <cp:lastModifiedBy>dell</cp:lastModifiedBy>
  <cp:revision>2</cp:revision>
  <dcterms:created xsi:type="dcterms:W3CDTF">2021-05-27T06:06:00Z</dcterms:created>
  <dcterms:modified xsi:type="dcterms:W3CDTF">2021-05-27T06:06:00Z</dcterms:modified>
</cp:coreProperties>
</file>