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B41B">
      <w:pPr>
        <w:pStyle w:val="2"/>
        <w:spacing w:before="142" w:line="480" w:lineRule="exact"/>
        <w:ind w:left="0" w:right="0" w:firstLine="643" w:firstLineChars="200"/>
        <w:jc w:val="center"/>
        <w:rPr>
          <w:rFonts w:hint="eastAsia" w:ascii="黑体" w:hAnsi="黑体" w:eastAsia="黑体"/>
          <w:sz w:val="32"/>
          <w:szCs w:val="32"/>
          <w:lang w:eastAsia="zh-CN"/>
        </w:rPr>
      </w:pPr>
      <w:r>
        <w:rPr>
          <w:rFonts w:ascii="黑体" w:hAnsi="黑体" w:eastAsia="黑体"/>
          <w:sz w:val="32"/>
          <w:szCs w:val="32"/>
        </w:rPr>
        <w:t>北京科技大学本科生</w:t>
      </w:r>
      <w:r>
        <w:rPr>
          <w:rFonts w:hint="eastAsia" w:ascii="黑体" w:hAnsi="黑体" w:eastAsia="黑体"/>
          <w:sz w:val="32"/>
          <w:szCs w:val="32"/>
          <w:lang w:eastAsia="zh-CN"/>
        </w:rPr>
        <w:t>“</w:t>
      </w:r>
      <w:r>
        <w:rPr>
          <w:rFonts w:ascii="黑体" w:hAnsi="黑体" w:eastAsia="黑体"/>
          <w:sz w:val="32"/>
          <w:szCs w:val="32"/>
        </w:rPr>
        <w:t>优质课程</w:t>
      </w:r>
      <w:r>
        <w:rPr>
          <w:rFonts w:hint="eastAsia" w:ascii="黑体" w:hAnsi="黑体" w:eastAsia="黑体"/>
          <w:sz w:val="32"/>
          <w:szCs w:val="32"/>
          <w:lang w:eastAsia="zh-CN"/>
        </w:rPr>
        <w:t>”</w:t>
      </w:r>
    </w:p>
    <w:p w14:paraId="3AD4F235">
      <w:pPr>
        <w:pStyle w:val="2"/>
        <w:spacing w:before="142" w:line="480" w:lineRule="exact"/>
        <w:ind w:left="0" w:right="0" w:firstLine="643" w:firstLineChars="200"/>
        <w:jc w:val="center"/>
        <w:rPr>
          <w:rFonts w:ascii="黑体" w:hAnsi="黑体" w:eastAsia="黑体"/>
          <w:sz w:val="32"/>
          <w:szCs w:val="32"/>
        </w:rPr>
      </w:pPr>
      <w:r>
        <w:rPr>
          <w:rFonts w:ascii="黑体" w:hAnsi="黑体" w:eastAsia="黑体"/>
          <w:sz w:val="32"/>
          <w:szCs w:val="32"/>
        </w:rPr>
        <w:t>评定</w:t>
      </w:r>
      <w:r>
        <w:rPr>
          <w:rFonts w:hint="eastAsia" w:ascii="黑体" w:hAnsi="黑体" w:eastAsia="黑体"/>
          <w:sz w:val="32"/>
          <w:szCs w:val="32"/>
        </w:rPr>
        <w:t>实施细则</w:t>
      </w:r>
    </w:p>
    <w:p w14:paraId="0676B009">
      <w:pPr>
        <w:pStyle w:val="3"/>
        <w:spacing w:before="14" w:line="480" w:lineRule="exact"/>
        <w:ind w:firstLine="560" w:firstLineChars="200"/>
        <w:jc w:val="both"/>
        <w:rPr>
          <w:rFonts w:ascii="Times New Roman" w:hAnsi="Times New Roman" w:eastAsia="仿宋" w:cs="Arial"/>
          <w:color w:val="000000"/>
          <w:sz w:val="28"/>
          <w:szCs w:val="28"/>
          <w:lang w:val="en-US" w:bidi="ar-SA"/>
        </w:rPr>
      </w:pPr>
    </w:p>
    <w:p w14:paraId="01573780">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ascii="Times New Roman" w:hAnsi="Times New Roman" w:eastAsia="仿宋" w:cs="Arial"/>
          <w:color w:val="000000"/>
          <w:sz w:val="28"/>
          <w:szCs w:val="28"/>
          <w:lang w:val="en-US" w:bidi="ar-SA"/>
        </w:rPr>
        <w:t>为深入贯彻落实全国教育大会和新时代全国高等学校本科教育工作会议精神，落实立德树人根本任务，根据</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北京科技大学建设一流本科教育行动计划</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部署安排，</w:t>
      </w:r>
      <w:r>
        <w:rPr>
          <w:rFonts w:hint="eastAsia" w:ascii="Times New Roman" w:hAnsi="Times New Roman" w:eastAsia="仿宋" w:cs="Arial"/>
          <w:color w:val="000000"/>
          <w:sz w:val="28"/>
          <w:szCs w:val="28"/>
          <w:lang w:val="en-US" w:bidi="ar-SA"/>
        </w:rPr>
        <w:t>为进一步规范本科生</w:t>
      </w:r>
      <w:r>
        <w:rPr>
          <w:rFonts w:hint="eastAsia" w:ascii="Times New Roman" w:hAnsi="Times New Roman" w:eastAsia="仿宋" w:cs="Arial"/>
          <w:color w:val="000000"/>
          <w:sz w:val="28"/>
          <w:szCs w:val="28"/>
          <w:lang w:val="en-US" w:eastAsia="zh-CN" w:bidi="ar-SA"/>
        </w:rPr>
        <w:t>“</w:t>
      </w:r>
      <w:r>
        <w:rPr>
          <w:rFonts w:hint="eastAsia"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hint="eastAsia" w:ascii="Times New Roman" w:hAnsi="Times New Roman" w:eastAsia="仿宋" w:cs="Arial"/>
          <w:color w:val="000000"/>
          <w:sz w:val="28"/>
          <w:szCs w:val="28"/>
          <w:lang w:val="en-US" w:bidi="ar-SA"/>
        </w:rPr>
        <w:t>评定工作安排，根据《北京科技大学本科生</w:t>
      </w:r>
      <w:r>
        <w:rPr>
          <w:rFonts w:hint="eastAsia" w:ascii="Times New Roman" w:hAnsi="Times New Roman" w:eastAsia="仿宋" w:cs="Arial"/>
          <w:color w:val="000000"/>
          <w:sz w:val="28"/>
          <w:szCs w:val="28"/>
          <w:lang w:val="en-US" w:eastAsia="zh-CN" w:bidi="ar-SA"/>
        </w:rPr>
        <w:t>“</w:t>
      </w:r>
      <w:r>
        <w:rPr>
          <w:rFonts w:hint="eastAsia"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hint="eastAsia" w:ascii="Times New Roman" w:hAnsi="Times New Roman" w:eastAsia="仿宋" w:cs="Arial"/>
          <w:color w:val="000000"/>
          <w:sz w:val="28"/>
          <w:szCs w:val="28"/>
          <w:lang w:val="en-US" w:bidi="ar-SA"/>
        </w:rPr>
        <w:t>实施办法》（</w:t>
      </w:r>
      <w:r>
        <w:rPr>
          <w:rFonts w:hint="eastAsia" w:ascii="仿宋" w:hAnsi="仿宋" w:eastAsia="仿宋" w:cs="Arial"/>
          <w:color w:val="000000"/>
          <w:sz w:val="28"/>
          <w:szCs w:val="28"/>
          <w:lang w:val="en-US" w:bidi="ar-SA"/>
        </w:rPr>
        <w:t>校发[</w:t>
      </w:r>
      <w:r>
        <w:rPr>
          <w:rFonts w:ascii="仿宋" w:hAnsi="仿宋" w:eastAsia="仿宋" w:cs="Arial"/>
          <w:color w:val="000000"/>
          <w:sz w:val="28"/>
          <w:szCs w:val="28"/>
          <w:lang w:val="en-US" w:bidi="ar-SA"/>
        </w:rPr>
        <w:t>2021</w:t>
      </w:r>
      <w:r>
        <w:rPr>
          <w:rFonts w:hint="eastAsia" w:ascii="仿宋" w:hAnsi="仿宋" w:eastAsia="仿宋" w:cs="Arial"/>
          <w:color w:val="000000"/>
          <w:sz w:val="28"/>
          <w:szCs w:val="28"/>
          <w:lang w:val="en-US" w:bidi="ar-SA"/>
        </w:rPr>
        <w:t>]</w:t>
      </w:r>
      <w:r>
        <w:rPr>
          <w:rFonts w:ascii="仿宋" w:hAnsi="仿宋" w:eastAsia="仿宋" w:cs="Arial"/>
          <w:color w:val="000000"/>
          <w:sz w:val="28"/>
          <w:szCs w:val="28"/>
          <w:lang w:val="en-US" w:bidi="ar-SA"/>
        </w:rPr>
        <w:t>73</w:t>
      </w:r>
      <w:r>
        <w:rPr>
          <w:rFonts w:hint="eastAsia" w:ascii="仿宋" w:hAnsi="仿宋" w:eastAsia="仿宋" w:cs="Arial"/>
          <w:color w:val="000000"/>
          <w:sz w:val="28"/>
          <w:szCs w:val="28"/>
          <w:lang w:val="en-US" w:bidi="ar-SA"/>
        </w:rPr>
        <w:t>号）</w:t>
      </w:r>
      <w:r>
        <w:rPr>
          <w:rFonts w:hint="eastAsia" w:ascii="Times New Roman" w:hAnsi="Times New Roman" w:eastAsia="仿宋" w:cs="Arial"/>
          <w:color w:val="000000"/>
          <w:sz w:val="28"/>
          <w:szCs w:val="28"/>
          <w:lang w:val="en-US" w:bidi="ar-SA"/>
        </w:rPr>
        <w:t>规定，特制订本</w:t>
      </w:r>
      <w:r>
        <w:rPr>
          <w:rFonts w:ascii="Times New Roman" w:hAnsi="Times New Roman" w:eastAsia="仿宋" w:cs="Arial"/>
          <w:color w:val="000000"/>
          <w:sz w:val="28"/>
          <w:szCs w:val="28"/>
          <w:lang w:val="en-US" w:bidi="ar-SA"/>
        </w:rPr>
        <w:t>评定</w:t>
      </w:r>
      <w:r>
        <w:rPr>
          <w:rFonts w:hint="eastAsia" w:ascii="Times New Roman" w:hAnsi="Times New Roman" w:eastAsia="仿宋" w:cs="Arial"/>
          <w:color w:val="000000"/>
          <w:sz w:val="28"/>
          <w:szCs w:val="28"/>
          <w:lang w:val="en-US" w:bidi="ar-SA"/>
        </w:rPr>
        <w:t>实施细则。</w:t>
      </w:r>
    </w:p>
    <w:p w14:paraId="3B934D9C">
      <w:pPr>
        <w:pStyle w:val="3"/>
        <w:spacing w:line="480" w:lineRule="exact"/>
        <w:ind w:firstLine="560" w:firstLineChars="200"/>
        <w:jc w:val="both"/>
        <w:rPr>
          <w:rFonts w:ascii="Times New Roman" w:hAnsi="Times New Roman" w:eastAsia="仿宋" w:cs="Arial"/>
          <w:color w:val="000000"/>
          <w:sz w:val="28"/>
          <w:szCs w:val="28"/>
          <w:lang w:val="en-US" w:bidi="ar-SA"/>
        </w:rPr>
      </w:pPr>
    </w:p>
    <w:p w14:paraId="3CB43E71">
      <w:pPr>
        <w:pStyle w:val="3"/>
        <w:spacing w:line="480" w:lineRule="exact"/>
        <w:ind w:firstLine="562" w:firstLineChars="200"/>
        <w:jc w:val="center"/>
        <w:rPr>
          <w:rFonts w:ascii="Times New Roman" w:hAnsi="Times New Roman" w:eastAsia="仿宋" w:cs="Arial"/>
          <w:b/>
          <w:color w:val="000000"/>
          <w:sz w:val="28"/>
          <w:szCs w:val="28"/>
          <w:lang w:val="en-US" w:bidi="ar-SA"/>
        </w:rPr>
      </w:pPr>
      <w:r>
        <w:rPr>
          <w:rFonts w:ascii="Times New Roman" w:hAnsi="Times New Roman" w:eastAsia="仿宋" w:cs="Arial"/>
          <w:b/>
          <w:color w:val="000000"/>
          <w:sz w:val="28"/>
          <w:szCs w:val="28"/>
          <w:lang w:val="en-US" w:bidi="ar-SA"/>
        </w:rPr>
        <w:t>第</w:t>
      </w:r>
      <w:r>
        <w:rPr>
          <w:rFonts w:hint="eastAsia" w:ascii="Times New Roman" w:hAnsi="Times New Roman" w:eastAsia="仿宋" w:cs="Arial"/>
          <w:b/>
          <w:color w:val="000000"/>
          <w:sz w:val="28"/>
          <w:szCs w:val="28"/>
          <w:lang w:val="en-US" w:bidi="ar-SA"/>
        </w:rPr>
        <w:t>一</w:t>
      </w:r>
      <w:r>
        <w:rPr>
          <w:rFonts w:ascii="Times New Roman" w:hAnsi="Times New Roman" w:eastAsia="仿宋" w:cs="Arial"/>
          <w:b/>
          <w:color w:val="000000"/>
          <w:sz w:val="28"/>
          <w:szCs w:val="28"/>
          <w:lang w:val="en-US" w:bidi="ar-SA"/>
        </w:rPr>
        <w:t xml:space="preserve">章 </w:t>
      </w:r>
      <w:r>
        <w:rPr>
          <w:rFonts w:hint="eastAsia" w:ascii="Times New Roman" w:hAnsi="Times New Roman" w:eastAsia="仿宋" w:cs="Arial"/>
          <w:b/>
          <w:color w:val="000000"/>
          <w:sz w:val="28"/>
          <w:szCs w:val="28"/>
          <w:lang w:val="en-US" w:bidi="ar-SA"/>
        </w:rPr>
        <w:t>参评条件</w:t>
      </w:r>
    </w:p>
    <w:p w14:paraId="0DF2B556">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第一条 入选基本要求包括：</w:t>
      </w:r>
    </w:p>
    <w:p w14:paraId="281C334C">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（一）</w:t>
      </w:r>
      <w:r>
        <w:rPr>
          <w:rFonts w:ascii="Times New Roman" w:hAnsi="Times New Roman" w:eastAsia="仿宋" w:cs="Arial"/>
          <w:color w:val="000000"/>
          <w:sz w:val="28"/>
          <w:szCs w:val="28"/>
          <w:lang w:val="en-US" w:bidi="ar-SA"/>
        </w:rPr>
        <w:t>凡纳入人才培养方案、设置学分的全校本科生理论课程，均可参加</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评定。同一名教师主讲</w:t>
      </w:r>
      <w:r>
        <w:rPr>
          <w:rFonts w:hint="eastAsia" w:ascii="Times New Roman" w:hAnsi="Times New Roman" w:eastAsia="仿宋" w:cs="Arial"/>
          <w:color w:val="000000"/>
          <w:sz w:val="28"/>
          <w:szCs w:val="28"/>
          <w:lang w:val="en-US" w:bidi="ar-SA"/>
        </w:rPr>
        <w:t>同</w:t>
      </w:r>
      <w:r>
        <w:rPr>
          <w:rFonts w:ascii="Times New Roman" w:hAnsi="Times New Roman" w:eastAsia="仿宋" w:cs="Arial"/>
          <w:color w:val="000000"/>
          <w:sz w:val="28"/>
          <w:szCs w:val="28"/>
          <w:lang w:val="en-US" w:bidi="ar-SA"/>
        </w:rPr>
        <w:t>一门课程、分设多个讲台的，</w:t>
      </w:r>
      <w:r>
        <w:rPr>
          <w:rFonts w:hint="eastAsia" w:ascii="Times New Roman" w:hAnsi="Times New Roman" w:eastAsia="仿宋" w:cs="Arial"/>
          <w:color w:val="000000"/>
          <w:sz w:val="28"/>
          <w:szCs w:val="28"/>
          <w:lang w:val="en-US" w:bidi="ar-SA"/>
        </w:rPr>
        <w:t>可选择其中一个讲台参加评定</w:t>
      </w:r>
      <w:r>
        <w:rPr>
          <w:rFonts w:ascii="Times New Roman" w:hAnsi="Times New Roman" w:eastAsia="仿宋" w:cs="Arial"/>
          <w:color w:val="000000"/>
          <w:sz w:val="28"/>
          <w:szCs w:val="28"/>
          <w:lang w:val="en-US" w:bidi="ar-SA"/>
        </w:rPr>
        <w:t>。</w:t>
      </w:r>
    </w:p>
    <w:p w14:paraId="26271B5C">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（二）</w:t>
      </w:r>
      <w:r>
        <w:rPr>
          <w:rFonts w:ascii="Times New Roman" w:hAnsi="Times New Roman" w:eastAsia="仿宋" w:cs="Arial"/>
          <w:color w:val="000000"/>
          <w:sz w:val="28"/>
          <w:szCs w:val="28"/>
          <w:lang w:val="en-US" w:bidi="ar-SA"/>
        </w:rPr>
        <w:t>课程</w:t>
      </w:r>
      <w:r>
        <w:rPr>
          <w:rFonts w:hint="eastAsia" w:ascii="Times New Roman" w:hAnsi="Times New Roman" w:eastAsia="仿宋" w:cs="Arial"/>
          <w:color w:val="000000"/>
          <w:sz w:val="28"/>
          <w:szCs w:val="28"/>
          <w:lang w:val="en-US" w:bidi="ar-SA"/>
        </w:rPr>
        <w:t>主讲教师</w:t>
      </w:r>
      <w:r>
        <w:rPr>
          <w:rFonts w:ascii="Times New Roman" w:hAnsi="Times New Roman" w:eastAsia="仿宋" w:cs="Arial"/>
          <w:color w:val="000000"/>
          <w:sz w:val="28"/>
          <w:szCs w:val="28"/>
          <w:lang w:val="en-US" w:bidi="ar-SA"/>
        </w:rPr>
        <w:t>政治素质过硬，师德师风优良，教书育人责任感强。积极参加课程思政建设并取得良好教学成果。</w:t>
      </w:r>
    </w:p>
    <w:p w14:paraId="23A6091F">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（三）</w:t>
      </w:r>
      <w:r>
        <w:rPr>
          <w:rFonts w:ascii="Times New Roman" w:hAnsi="Times New Roman" w:eastAsia="仿宋" w:cs="Arial"/>
          <w:color w:val="000000"/>
          <w:sz w:val="28"/>
          <w:szCs w:val="28"/>
          <w:lang w:val="en-US" w:bidi="ar-SA"/>
        </w:rPr>
        <w:t>课程实施效果好，充分体现高阶性、创新性、挑战度</w:t>
      </w:r>
      <w:r>
        <w:rPr>
          <w:rFonts w:hint="eastAsia" w:ascii="Times New Roman" w:hAnsi="Times New Roman" w:eastAsia="仿宋" w:cs="Arial"/>
          <w:color w:val="000000"/>
          <w:sz w:val="28"/>
          <w:szCs w:val="28"/>
          <w:lang w:val="en-US" w:bidi="ar-SA"/>
        </w:rPr>
        <w:t>的</w:t>
      </w:r>
      <w:r>
        <w:rPr>
          <w:rFonts w:hint="eastAsia" w:ascii="Times New Roman" w:hAnsi="Times New Roman" w:eastAsia="仿宋" w:cs="Arial"/>
          <w:color w:val="000000"/>
          <w:sz w:val="28"/>
          <w:szCs w:val="28"/>
          <w:lang w:val="en-US" w:eastAsia="zh-CN" w:bidi="ar-SA"/>
        </w:rPr>
        <w:t>“</w:t>
      </w:r>
      <w:r>
        <w:rPr>
          <w:rFonts w:hint="eastAsia" w:ascii="Times New Roman" w:hAnsi="Times New Roman" w:eastAsia="仿宋" w:cs="Arial"/>
          <w:color w:val="000000"/>
          <w:sz w:val="28"/>
          <w:szCs w:val="28"/>
          <w:lang w:val="en-US" w:bidi="ar-SA"/>
        </w:rPr>
        <w:t>两性一度</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要求。</w:t>
      </w:r>
      <w:r>
        <w:rPr>
          <w:rFonts w:hint="eastAsia" w:ascii="Times New Roman" w:hAnsi="Times New Roman" w:eastAsia="仿宋" w:cs="Arial"/>
          <w:color w:val="000000"/>
          <w:sz w:val="28"/>
          <w:szCs w:val="28"/>
          <w:lang w:val="en-US" w:bidi="ar-SA"/>
        </w:rPr>
        <w:t>教师能合理运用信息化教学手段，为学生提供多样化的混合式教学模式或有已上线慕课。</w:t>
      </w:r>
    </w:p>
    <w:p w14:paraId="18613755">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（四）</w:t>
      </w:r>
      <w:r>
        <w:rPr>
          <w:rFonts w:ascii="Times New Roman" w:hAnsi="Times New Roman" w:eastAsia="仿宋" w:cs="Arial"/>
          <w:color w:val="000000"/>
          <w:sz w:val="28"/>
          <w:szCs w:val="28"/>
          <w:lang w:val="en-US" w:bidi="ar-SA"/>
        </w:rPr>
        <w:t>与课程相关的教育教学改革成果丰富</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课程</w:t>
      </w:r>
      <w:r>
        <w:rPr>
          <w:rFonts w:hint="eastAsia" w:ascii="Times New Roman" w:hAnsi="Times New Roman" w:eastAsia="仿宋" w:cs="Arial"/>
          <w:color w:val="000000"/>
          <w:sz w:val="28"/>
          <w:szCs w:val="28"/>
          <w:lang w:val="en-US" w:bidi="ar-SA"/>
        </w:rPr>
        <w:t>主讲教师</w:t>
      </w:r>
      <w:r>
        <w:rPr>
          <w:rFonts w:ascii="Times New Roman" w:hAnsi="Times New Roman" w:eastAsia="仿宋" w:cs="Arial"/>
          <w:color w:val="000000"/>
          <w:sz w:val="28"/>
          <w:szCs w:val="28"/>
          <w:lang w:val="en-US" w:bidi="ar-SA"/>
        </w:rPr>
        <w:t>有编著出版的相关教材</w:t>
      </w:r>
      <w:r>
        <w:rPr>
          <w:rFonts w:hint="eastAsia" w:ascii="Times New Roman" w:hAnsi="Times New Roman" w:eastAsia="仿宋" w:cs="Arial"/>
          <w:color w:val="000000"/>
          <w:sz w:val="28"/>
          <w:szCs w:val="28"/>
          <w:lang w:val="en-US" w:bidi="ar-SA"/>
        </w:rPr>
        <w:t>或选用省部级及以上规划教材并深入应用。</w:t>
      </w:r>
    </w:p>
    <w:p w14:paraId="5236551F">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（五）</w:t>
      </w:r>
      <w:r>
        <w:rPr>
          <w:rFonts w:ascii="Times New Roman" w:hAnsi="Times New Roman" w:eastAsia="仿宋" w:cs="Arial"/>
          <w:color w:val="000000"/>
          <w:sz w:val="28"/>
          <w:szCs w:val="28"/>
          <w:lang w:val="en-US" w:bidi="ar-SA"/>
        </w:rPr>
        <w:t>课程的教学成效好，近三年课程平均评教成绩位于所在学院排名前30%。</w:t>
      </w:r>
    </w:p>
    <w:p w14:paraId="30C3C760">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（六） </w:t>
      </w:r>
      <w:r>
        <w:rPr>
          <w:rFonts w:ascii="Times New Roman" w:hAnsi="Times New Roman" w:eastAsia="仿宋" w:cs="Arial"/>
          <w:color w:val="000000"/>
          <w:sz w:val="28"/>
          <w:szCs w:val="28"/>
          <w:lang w:val="en-US" w:bidi="ar-SA"/>
        </w:rPr>
        <w:t>课程已评定为北京科技大学本科生规范课。</w:t>
      </w:r>
    </w:p>
    <w:p w14:paraId="39877011">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（七）</w:t>
      </w:r>
      <w:r>
        <w:rPr>
          <w:rFonts w:ascii="Times New Roman" w:hAnsi="Times New Roman" w:eastAsia="仿宋" w:cs="Arial"/>
          <w:color w:val="000000"/>
          <w:sz w:val="28"/>
          <w:szCs w:val="28"/>
          <w:lang w:val="en-US" w:bidi="ar-SA"/>
        </w:rPr>
        <w:t>评定范围内已获得</w:t>
      </w:r>
      <w:bookmarkStart w:id="0" w:name="_GoBack"/>
      <w:r>
        <w:rPr>
          <w:rFonts w:ascii="Times New Roman" w:hAnsi="Times New Roman" w:eastAsia="仿宋" w:cs="Arial"/>
          <w:color w:val="000000"/>
          <w:sz w:val="28"/>
          <w:szCs w:val="28"/>
          <w:lang w:val="en-US" w:bidi="ar-SA"/>
        </w:rPr>
        <w:t>国家级和北京市一流课程称号</w:t>
      </w:r>
      <w:bookmarkEnd w:id="0"/>
      <w:r>
        <w:rPr>
          <w:rFonts w:hint="eastAsia" w:ascii="Times New Roman" w:hAnsi="Times New Roman" w:eastAsia="仿宋" w:cs="Arial"/>
          <w:color w:val="000000"/>
          <w:sz w:val="28"/>
          <w:szCs w:val="28"/>
          <w:lang w:val="en-US" w:bidi="ar-SA"/>
        </w:rPr>
        <w:t>的</w:t>
      </w:r>
      <w:r>
        <w:rPr>
          <w:rFonts w:ascii="Times New Roman" w:hAnsi="Times New Roman" w:eastAsia="仿宋" w:cs="Arial"/>
          <w:color w:val="000000"/>
          <w:sz w:val="28"/>
          <w:szCs w:val="28"/>
          <w:lang w:val="en-US" w:bidi="ar-SA"/>
        </w:rPr>
        <w:t>将直接认定为</w:t>
      </w:r>
      <w:r>
        <w:rPr>
          <w:rFonts w:hint="eastAsia" w:ascii="Times New Roman" w:hAnsi="Times New Roman" w:eastAsia="仿宋" w:cs="Arial"/>
          <w:color w:val="000000"/>
          <w:sz w:val="28"/>
          <w:szCs w:val="28"/>
          <w:lang w:val="en-US" w:bidi="ar-SA"/>
        </w:rPr>
        <w:t>校级</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，不再单独评定。</w:t>
      </w:r>
    </w:p>
    <w:p w14:paraId="185A0721">
      <w:pPr>
        <w:pStyle w:val="3"/>
        <w:spacing w:line="480" w:lineRule="exact"/>
        <w:ind w:firstLine="560" w:firstLineChars="200"/>
        <w:jc w:val="both"/>
        <w:rPr>
          <w:rFonts w:ascii="Times New Roman" w:hAnsi="Times New Roman" w:eastAsia="仿宋" w:cs="Arial"/>
          <w:color w:val="000000"/>
          <w:sz w:val="28"/>
          <w:szCs w:val="28"/>
          <w:lang w:val="en-US" w:bidi="ar-SA"/>
        </w:rPr>
      </w:pPr>
    </w:p>
    <w:p w14:paraId="0F5E9B17">
      <w:pPr>
        <w:pStyle w:val="3"/>
        <w:spacing w:line="480" w:lineRule="exact"/>
        <w:ind w:firstLine="562" w:firstLineChars="200"/>
        <w:jc w:val="center"/>
        <w:rPr>
          <w:rFonts w:ascii="Times New Roman" w:hAnsi="Times New Roman" w:eastAsia="仿宋" w:cs="Arial"/>
          <w:b/>
          <w:color w:val="000000"/>
          <w:sz w:val="28"/>
          <w:szCs w:val="28"/>
          <w:lang w:val="en-US" w:bidi="ar-SA"/>
        </w:rPr>
      </w:pPr>
      <w:r>
        <w:rPr>
          <w:rFonts w:hint="eastAsia" w:ascii="Times New Roman" w:hAnsi="Times New Roman" w:eastAsia="仿宋" w:cs="Arial"/>
          <w:b/>
          <w:color w:val="000000"/>
          <w:sz w:val="28"/>
          <w:szCs w:val="28"/>
          <w:lang w:val="en-US" w:bidi="ar-SA"/>
        </w:rPr>
        <w:t>第二章 评定办法</w:t>
      </w:r>
    </w:p>
    <w:p w14:paraId="1B26E5E5">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第二条 </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的评定由教务处、各</w:t>
      </w:r>
      <w:r>
        <w:rPr>
          <w:rFonts w:hint="eastAsia" w:ascii="Times New Roman" w:hAnsi="Times New Roman" w:eastAsia="仿宋" w:cs="Arial"/>
          <w:color w:val="000000"/>
          <w:sz w:val="28"/>
          <w:szCs w:val="28"/>
          <w:lang w:val="en-US" w:bidi="ar-SA"/>
        </w:rPr>
        <w:t>单位</w:t>
      </w:r>
      <w:r>
        <w:rPr>
          <w:rFonts w:ascii="Times New Roman" w:hAnsi="Times New Roman" w:eastAsia="仿宋" w:cs="Arial"/>
          <w:color w:val="000000"/>
          <w:sz w:val="28"/>
          <w:szCs w:val="28"/>
          <w:lang w:val="en-US" w:bidi="ar-SA"/>
        </w:rPr>
        <w:t>共同组织完成。</w:t>
      </w:r>
    </w:p>
    <w:p w14:paraId="3104D5D3">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第三条 </w:t>
      </w:r>
      <w:r>
        <w:rPr>
          <w:rFonts w:ascii="Times New Roman" w:hAnsi="Times New Roman" w:eastAsia="仿宋" w:cs="Arial"/>
          <w:color w:val="000000"/>
          <w:sz w:val="28"/>
          <w:szCs w:val="28"/>
          <w:lang w:val="en-US" w:bidi="ar-SA"/>
        </w:rPr>
        <w:t>教务处负责制定</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评定基本标准，下达每学期</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评选比例。</w:t>
      </w:r>
    </w:p>
    <w:p w14:paraId="39335ED3">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第四条 </w:t>
      </w:r>
      <w:r>
        <w:rPr>
          <w:rFonts w:ascii="Times New Roman" w:hAnsi="Times New Roman" w:eastAsia="仿宋" w:cs="Arial"/>
          <w:color w:val="000000"/>
          <w:sz w:val="28"/>
          <w:szCs w:val="28"/>
          <w:lang w:val="en-US" w:bidi="ar-SA"/>
        </w:rPr>
        <w:t>各</w:t>
      </w:r>
      <w:r>
        <w:rPr>
          <w:rFonts w:hint="eastAsia" w:ascii="Times New Roman" w:hAnsi="Times New Roman" w:eastAsia="仿宋" w:cs="Arial"/>
          <w:color w:val="000000"/>
          <w:sz w:val="28"/>
          <w:szCs w:val="28"/>
          <w:lang w:val="en-US" w:bidi="ar-SA"/>
        </w:rPr>
        <w:t>单位</w:t>
      </w:r>
      <w:r>
        <w:rPr>
          <w:rFonts w:ascii="Times New Roman" w:hAnsi="Times New Roman" w:eastAsia="仿宋" w:cs="Arial"/>
          <w:color w:val="000000"/>
          <w:sz w:val="28"/>
          <w:szCs w:val="28"/>
          <w:lang w:val="en-US" w:bidi="ar-SA"/>
        </w:rPr>
        <w:t>负责本</w:t>
      </w:r>
      <w:r>
        <w:rPr>
          <w:rFonts w:hint="eastAsia" w:ascii="Times New Roman" w:hAnsi="Times New Roman" w:eastAsia="仿宋" w:cs="Arial"/>
          <w:color w:val="000000"/>
          <w:sz w:val="28"/>
          <w:szCs w:val="28"/>
          <w:lang w:val="en-US" w:bidi="ar-SA"/>
        </w:rPr>
        <w:t>单位</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的推荐工作，按照</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评定标准，在教师申请、专家评选的基础上，确定本单位</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推荐名单，上报教务处。</w:t>
      </w:r>
    </w:p>
    <w:p w14:paraId="1399FB4C">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第五条 </w:t>
      </w:r>
      <w:r>
        <w:rPr>
          <w:rFonts w:ascii="Times New Roman" w:hAnsi="Times New Roman" w:eastAsia="仿宋" w:cs="Arial"/>
          <w:color w:val="000000"/>
          <w:sz w:val="28"/>
          <w:szCs w:val="28"/>
          <w:lang w:val="en-US" w:bidi="ar-SA"/>
        </w:rPr>
        <w:t>教务处组织专家对推荐的</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进行评定</w:t>
      </w:r>
      <w:r>
        <w:rPr>
          <w:rFonts w:hint="eastAsia" w:ascii="Times New Roman" w:hAnsi="Times New Roman" w:eastAsia="仿宋" w:cs="Arial"/>
          <w:color w:val="000000"/>
          <w:sz w:val="28"/>
          <w:szCs w:val="28"/>
          <w:lang w:val="en-US" w:bidi="ar-SA"/>
        </w:rPr>
        <w:t>。</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评定采取申报材料评阅和专家听查课的形式，综合</w:t>
      </w:r>
      <w:r>
        <w:rPr>
          <w:rFonts w:hint="eastAsia" w:ascii="Times New Roman" w:hAnsi="Times New Roman" w:eastAsia="仿宋" w:cs="Arial"/>
          <w:color w:val="000000"/>
          <w:sz w:val="28"/>
          <w:szCs w:val="28"/>
          <w:lang w:val="en-US" w:bidi="ar-SA"/>
        </w:rPr>
        <w:t>考查</w:t>
      </w:r>
      <w:r>
        <w:rPr>
          <w:rFonts w:ascii="Times New Roman" w:hAnsi="Times New Roman" w:eastAsia="仿宋" w:cs="Arial"/>
          <w:color w:val="000000"/>
          <w:sz w:val="28"/>
          <w:szCs w:val="28"/>
          <w:lang w:val="en-US" w:bidi="ar-SA"/>
        </w:rPr>
        <w:t>教师</w:t>
      </w:r>
      <w:r>
        <w:rPr>
          <w:rFonts w:hint="eastAsia" w:ascii="Times New Roman" w:hAnsi="Times New Roman" w:eastAsia="仿宋" w:cs="Arial"/>
          <w:color w:val="000000"/>
          <w:sz w:val="28"/>
          <w:szCs w:val="28"/>
          <w:lang w:val="en-US" w:bidi="ar-SA"/>
        </w:rPr>
        <w:t>课程教学组织能力、课堂驾驭能力</w:t>
      </w:r>
      <w:r>
        <w:rPr>
          <w:rFonts w:ascii="Times New Roman" w:hAnsi="Times New Roman" w:eastAsia="仿宋" w:cs="Arial"/>
          <w:color w:val="000000"/>
          <w:sz w:val="28"/>
          <w:szCs w:val="28"/>
          <w:lang w:val="en-US" w:bidi="ar-SA"/>
        </w:rPr>
        <w:t>、教学设计、课程资源、课程效果、教学平台及辅助工具等。</w:t>
      </w:r>
    </w:p>
    <w:p w14:paraId="057668B1">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第六条</w:t>
      </w:r>
      <w:r>
        <w:rPr>
          <w:rFonts w:ascii="Times New Roman" w:hAnsi="Times New Roman" w:eastAsia="仿宋" w:cs="Arial"/>
          <w:color w:val="000000"/>
          <w:sz w:val="28"/>
          <w:szCs w:val="28"/>
          <w:lang w:val="en-US" w:bidi="ar-SA"/>
        </w:rPr>
        <w:t xml:space="preserve"> 教务处将</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评定结果，上报学校教学委员会审议通过，经公示无异议后</w:t>
      </w:r>
      <w:r>
        <w:rPr>
          <w:rFonts w:hint="eastAsia" w:ascii="Times New Roman" w:hAnsi="Times New Roman" w:eastAsia="仿宋" w:cs="Arial"/>
          <w:color w:val="000000"/>
          <w:sz w:val="28"/>
          <w:szCs w:val="28"/>
          <w:lang w:val="en-US" w:bidi="ar-SA"/>
        </w:rPr>
        <w:t>正式公布</w:t>
      </w:r>
      <w:r>
        <w:rPr>
          <w:rFonts w:ascii="Times New Roman" w:hAnsi="Times New Roman" w:eastAsia="仿宋" w:cs="Arial"/>
          <w:color w:val="000000"/>
          <w:sz w:val="28"/>
          <w:szCs w:val="28"/>
          <w:lang w:val="en-US" w:bidi="ar-SA"/>
        </w:rPr>
        <w:t>。</w:t>
      </w:r>
    </w:p>
    <w:p w14:paraId="4DF6439E">
      <w:pPr>
        <w:pStyle w:val="3"/>
        <w:spacing w:line="480" w:lineRule="exact"/>
        <w:ind w:firstLine="560" w:firstLineChars="200"/>
        <w:jc w:val="both"/>
        <w:rPr>
          <w:rFonts w:ascii="Times New Roman" w:hAnsi="Times New Roman" w:eastAsia="仿宋" w:cs="Arial"/>
          <w:color w:val="000000"/>
          <w:sz w:val="28"/>
          <w:szCs w:val="28"/>
          <w:lang w:val="en-US" w:bidi="ar-SA"/>
        </w:rPr>
      </w:pPr>
    </w:p>
    <w:p w14:paraId="2E4A7982">
      <w:pPr>
        <w:pStyle w:val="3"/>
        <w:spacing w:line="480" w:lineRule="exact"/>
        <w:ind w:firstLine="562" w:firstLineChars="200"/>
        <w:jc w:val="center"/>
        <w:rPr>
          <w:rFonts w:ascii="Times New Roman" w:hAnsi="Times New Roman" w:eastAsia="仿宋" w:cs="Arial"/>
          <w:b/>
          <w:color w:val="000000"/>
          <w:sz w:val="28"/>
          <w:szCs w:val="28"/>
          <w:lang w:val="en-US" w:bidi="ar-SA"/>
        </w:rPr>
      </w:pPr>
      <w:r>
        <w:rPr>
          <w:rFonts w:ascii="Times New Roman" w:hAnsi="Times New Roman" w:eastAsia="仿宋" w:cs="Arial"/>
          <w:b/>
          <w:color w:val="000000"/>
          <w:sz w:val="28"/>
          <w:szCs w:val="28"/>
          <w:lang w:val="en-US" w:bidi="ar-SA"/>
        </w:rPr>
        <w:t>第</w:t>
      </w:r>
      <w:r>
        <w:rPr>
          <w:rFonts w:hint="eastAsia" w:ascii="Times New Roman" w:hAnsi="Times New Roman" w:eastAsia="仿宋" w:cs="Arial"/>
          <w:b/>
          <w:color w:val="000000"/>
          <w:sz w:val="28"/>
          <w:szCs w:val="28"/>
          <w:lang w:val="en-US" w:bidi="ar-SA"/>
        </w:rPr>
        <w:t>三</w:t>
      </w:r>
      <w:r>
        <w:rPr>
          <w:rFonts w:ascii="Times New Roman" w:hAnsi="Times New Roman" w:eastAsia="仿宋" w:cs="Arial"/>
          <w:b/>
          <w:color w:val="000000"/>
          <w:sz w:val="28"/>
          <w:szCs w:val="28"/>
          <w:lang w:val="en-US" w:bidi="ar-SA"/>
        </w:rPr>
        <w:t xml:space="preserve">章 </w:t>
      </w:r>
      <w:r>
        <w:rPr>
          <w:rFonts w:hint="eastAsia" w:ascii="Times New Roman" w:hAnsi="Times New Roman" w:eastAsia="仿宋" w:cs="Arial"/>
          <w:b/>
          <w:color w:val="000000"/>
          <w:sz w:val="28"/>
          <w:szCs w:val="28"/>
          <w:lang w:val="en-US" w:bidi="ar-SA"/>
        </w:rPr>
        <w:t>过程管理</w:t>
      </w:r>
    </w:p>
    <w:p w14:paraId="0DEB0F6A">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第七条 </w:t>
      </w:r>
      <w:r>
        <w:rPr>
          <w:rFonts w:ascii="Times New Roman" w:hAnsi="Times New Roman" w:eastAsia="仿宋" w:cs="Arial"/>
          <w:color w:val="000000"/>
          <w:sz w:val="28"/>
          <w:szCs w:val="28"/>
          <w:lang w:val="en-US" w:bidi="ar-SA"/>
        </w:rPr>
        <w:t>通过认定的</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有效期为5年，有效期内教学津贴提高至150元/学时。</w:t>
      </w:r>
    </w:p>
    <w:p w14:paraId="7FEC10F1">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第八条 </w:t>
      </w:r>
      <w:r>
        <w:rPr>
          <w:rFonts w:ascii="Times New Roman" w:hAnsi="Times New Roman" w:eastAsia="仿宋" w:cs="Arial"/>
          <w:color w:val="000000"/>
          <w:sz w:val="28"/>
          <w:szCs w:val="28"/>
          <w:lang w:val="en-US" w:bidi="ar-SA"/>
        </w:rPr>
        <w:t>已获认定的</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w:t>
      </w:r>
      <w:r>
        <w:rPr>
          <w:rFonts w:hint="eastAsia" w:ascii="Times New Roman" w:hAnsi="Times New Roman" w:eastAsia="仿宋" w:cs="Arial"/>
          <w:color w:val="000000"/>
          <w:sz w:val="28"/>
          <w:szCs w:val="28"/>
          <w:lang w:val="en-US" w:bidi="ar-SA"/>
        </w:rPr>
        <w:t>学校将组织主讲教师推广经验，发挥良好的示范引领作用。</w:t>
      </w:r>
    </w:p>
    <w:p w14:paraId="50BEE97B">
      <w:pPr>
        <w:pStyle w:val="3"/>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 xml:space="preserve">第九条 </w:t>
      </w:r>
      <w:r>
        <w:rPr>
          <w:rFonts w:ascii="Times New Roman" w:hAnsi="Times New Roman" w:eastAsia="仿宋" w:cs="Arial"/>
          <w:color w:val="000000"/>
          <w:sz w:val="28"/>
          <w:szCs w:val="28"/>
          <w:lang w:val="en-US" w:bidi="ar-SA"/>
        </w:rPr>
        <w:t>主讲教师有教学过失、教学事故或有违反师德师风和学术道德规范的行为，取消</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优质课程</w:t>
      </w:r>
      <w:r>
        <w:rPr>
          <w:rFonts w:hint="eastAsia" w:ascii="Times New Roman" w:hAnsi="Times New Roman" w:eastAsia="仿宋" w:cs="Arial"/>
          <w:color w:val="000000"/>
          <w:sz w:val="28"/>
          <w:szCs w:val="28"/>
          <w:lang w:val="en-US" w:eastAsia="zh-CN" w:bidi="ar-SA"/>
        </w:rPr>
        <w:t>”</w:t>
      </w:r>
      <w:r>
        <w:rPr>
          <w:rFonts w:ascii="Times New Roman" w:hAnsi="Times New Roman" w:eastAsia="仿宋" w:cs="Arial"/>
          <w:color w:val="000000"/>
          <w:sz w:val="28"/>
          <w:szCs w:val="28"/>
          <w:lang w:val="en-US" w:bidi="ar-SA"/>
        </w:rPr>
        <w:t>资质。</w:t>
      </w:r>
    </w:p>
    <w:p w14:paraId="6745DCE6">
      <w:pPr>
        <w:pStyle w:val="3"/>
        <w:tabs>
          <w:tab w:val="left" w:pos="1281"/>
        </w:tabs>
        <w:spacing w:line="480" w:lineRule="exact"/>
        <w:ind w:firstLine="560" w:firstLineChars="200"/>
        <w:jc w:val="both"/>
        <w:rPr>
          <w:rFonts w:ascii="Times New Roman" w:hAnsi="Times New Roman" w:eastAsia="仿宋" w:cs="Arial"/>
          <w:color w:val="000000"/>
          <w:sz w:val="28"/>
          <w:szCs w:val="28"/>
          <w:lang w:val="en-US" w:bidi="ar-SA"/>
        </w:rPr>
      </w:pPr>
    </w:p>
    <w:p w14:paraId="67DEEC2B">
      <w:pPr>
        <w:pStyle w:val="3"/>
        <w:tabs>
          <w:tab w:val="left" w:pos="1281"/>
        </w:tabs>
        <w:spacing w:line="480" w:lineRule="exact"/>
        <w:ind w:firstLine="562" w:firstLineChars="200"/>
        <w:jc w:val="center"/>
        <w:rPr>
          <w:rFonts w:ascii="Times New Roman" w:hAnsi="Times New Roman" w:eastAsia="仿宋" w:cs="Arial"/>
          <w:b/>
          <w:color w:val="000000"/>
          <w:sz w:val="28"/>
          <w:szCs w:val="28"/>
          <w:lang w:val="en-US" w:bidi="ar-SA"/>
        </w:rPr>
      </w:pPr>
      <w:r>
        <w:rPr>
          <w:rFonts w:ascii="Times New Roman" w:hAnsi="Times New Roman" w:eastAsia="仿宋" w:cs="Arial"/>
          <w:b/>
          <w:color w:val="000000"/>
          <w:sz w:val="28"/>
          <w:szCs w:val="28"/>
          <w:lang w:val="en-US" w:bidi="ar-SA"/>
        </w:rPr>
        <w:t>第</w:t>
      </w:r>
      <w:r>
        <w:rPr>
          <w:rFonts w:hint="eastAsia" w:ascii="Times New Roman" w:hAnsi="Times New Roman" w:eastAsia="仿宋" w:cs="Arial"/>
          <w:b/>
          <w:color w:val="000000"/>
          <w:sz w:val="28"/>
          <w:szCs w:val="28"/>
          <w:lang w:val="en-US" w:bidi="ar-SA"/>
        </w:rPr>
        <w:t>四</w:t>
      </w:r>
      <w:r>
        <w:rPr>
          <w:rFonts w:ascii="Times New Roman" w:hAnsi="Times New Roman" w:eastAsia="仿宋" w:cs="Arial"/>
          <w:b/>
          <w:color w:val="000000"/>
          <w:sz w:val="28"/>
          <w:szCs w:val="28"/>
          <w:lang w:val="en-US" w:bidi="ar-SA"/>
        </w:rPr>
        <w:t>章 附 则</w:t>
      </w:r>
    </w:p>
    <w:p w14:paraId="720B8EC9">
      <w:pPr>
        <w:spacing w:line="480" w:lineRule="exact"/>
        <w:ind w:firstLine="560" w:firstLineChars="200"/>
        <w:jc w:val="both"/>
        <w:rPr>
          <w:rFonts w:ascii="Times New Roman" w:hAnsi="Times New Roman" w:eastAsia="仿宋" w:cs="Arial"/>
          <w:color w:val="000000"/>
          <w:sz w:val="28"/>
          <w:szCs w:val="28"/>
          <w:lang w:val="en-US" w:bidi="ar-SA"/>
        </w:rPr>
      </w:pPr>
      <w:r>
        <w:rPr>
          <w:rFonts w:hint="eastAsia" w:ascii="Times New Roman" w:hAnsi="Times New Roman" w:eastAsia="仿宋" w:cs="Arial"/>
          <w:color w:val="000000"/>
          <w:sz w:val="28"/>
          <w:szCs w:val="28"/>
          <w:lang w:val="en-US" w:bidi="ar-SA"/>
        </w:rPr>
        <w:t>第十条</w:t>
      </w:r>
      <w:r>
        <w:rPr>
          <w:rFonts w:ascii="Times New Roman" w:hAnsi="Times New Roman" w:eastAsia="仿宋" w:cs="Arial"/>
          <w:color w:val="000000"/>
          <w:sz w:val="28"/>
          <w:szCs w:val="28"/>
          <w:lang w:val="en-US" w:bidi="ar-SA"/>
        </w:rPr>
        <w:t xml:space="preserve"> </w:t>
      </w:r>
      <w:r>
        <w:rPr>
          <w:rFonts w:hint="eastAsia" w:ascii="Times New Roman" w:hAnsi="Times New Roman" w:eastAsia="仿宋" w:cs="Arial"/>
          <w:color w:val="000000"/>
          <w:sz w:val="28"/>
          <w:szCs w:val="28"/>
          <w:lang w:val="en-US" w:bidi="ar-SA"/>
        </w:rPr>
        <w:t>本细则自发布之日起施行</w:t>
      </w:r>
      <w:r>
        <w:rPr>
          <w:rFonts w:ascii="Times New Roman" w:hAnsi="Times New Roman" w:eastAsia="仿宋" w:cs="Arial"/>
          <w:color w:val="000000"/>
          <w:sz w:val="28"/>
          <w:szCs w:val="28"/>
          <w:lang w:val="en-US" w:bidi="ar-SA"/>
        </w:rPr>
        <w:t>。</w:t>
      </w:r>
    </w:p>
    <w:sectPr>
      <w:footerReference r:id="rId3" w:type="default"/>
      <w:footerReference r:id="rId4" w:type="even"/>
      <w:pgSz w:w="11910" w:h="16840"/>
      <w:pgMar w:top="1580" w:right="1480" w:bottom="1900" w:left="1360" w:header="0" w:footer="170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2CA8">
    <w:pPr>
      <w:pStyle w:val="3"/>
      <w:spacing w:line="14" w:lineRule="auto"/>
      <w:rPr>
        <w:sz w:val="20"/>
      </w:rPr>
    </w:pPr>
    <w:r>
      <w:pict>
        <v:shape id="_x0000_s2050" o:spid="_x0000_s2050" o:spt="202" type="#_x0000_t202" style="position:absolute;left:0pt;margin-left:450.05pt;margin-top:745.45pt;height:16.05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714ADF0">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w:t>
                </w:r>
                <w: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E1BA">
    <w:pPr>
      <w:pStyle w:val="3"/>
      <w:spacing w:line="14" w:lineRule="auto"/>
      <w:rPr>
        <w:sz w:val="20"/>
      </w:rPr>
    </w:pPr>
    <w:r>
      <w:pict>
        <v:shape id="_x0000_s2049" o:spid="_x0000_s2049" o:spt="202" type="#_x0000_t202" style="position:absolute;left:0pt;margin-left:88.65pt;margin-top:745.45pt;height:16.05pt;width:5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E31EC6D">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2</w:t>
                </w:r>
                <w:r>
                  <w:fldChar w:fldCharType="end"/>
                </w:r>
                <w:r>
                  <w:rPr>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E0434"/>
    <w:rsid w:val="00050FD1"/>
    <w:rsid w:val="0005568B"/>
    <w:rsid w:val="000D7688"/>
    <w:rsid w:val="000E0434"/>
    <w:rsid w:val="001F40FB"/>
    <w:rsid w:val="002124CB"/>
    <w:rsid w:val="00231591"/>
    <w:rsid w:val="00264F8D"/>
    <w:rsid w:val="00395941"/>
    <w:rsid w:val="00411065"/>
    <w:rsid w:val="00442109"/>
    <w:rsid w:val="00580949"/>
    <w:rsid w:val="005A6DA9"/>
    <w:rsid w:val="0062509C"/>
    <w:rsid w:val="0065498B"/>
    <w:rsid w:val="00747F37"/>
    <w:rsid w:val="007C7D9E"/>
    <w:rsid w:val="00861DC4"/>
    <w:rsid w:val="008924FE"/>
    <w:rsid w:val="008961EA"/>
    <w:rsid w:val="009667DE"/>
    <w:rsid w:val="00975144"/>
    <w:rsid w:val="00984B17"/>
    <w:rsid w:val="009C67DA"/>
    <w:rsid w:val="009F73FE"/>
    <w:rsid w:val="00A013AE"/>
    <w:rsid w:val="00A63CC1"/>
    <w:rsid w:val="00A7485E"/>
    <w:rsid w:val="00A91823"/>
    <w:rsid w:val="00BC1466"/>
    <w:rsid w:val="00C75562"/>
    <w:rsid w:val="00C90041"/>
    <w:rsid w:val="00CB0759"/>
    <w:rsid w:val="00D43099"/>
    <w:rsid w:val="00FB7323"/>
    <w:rsid w:val="00FE1EA7"/>
    <w:rsid w:val="0C740D9C"/>
    <w:rsid w:val="0CC2470A"/>
    <w:rsid w:val="10BB6333"/>
    <w:rsid w:val="13C0626D"/>
    <w:rsid w:val="17324159"/>
    <w:rsid w:val="2A0942B9"/>
    <w:rsid w:val="2E32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129" w:right="148" w:hanging="1347"/>
      <w:outlineLvl w:val="0"/>
    </w:pPr>
    <w:rPr>
      <w:rFonts w:ascii="微软雅黑" w:hAnsi="微软雅黑" w:eastAsia="微软雅黑" w:cs="微软雅黑"/>
      <w:b/>
      <w:bCs/>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4" w:right="311" w:firstLine="640"/>
      <w:jc w:val="both"/>
    </w:pPr>
  </w:style>
  <w:style w:type="paragraph" w:customStyle="1" w:styleId="10">
    <w:name w:val="Table Paragraph"/>
    <w:basedOn w:val="1"/>
    <w:qFormat/>
    <w:uiPriority w:val="1"/>
  </w:style>
  <w:style w:type="character" w:customStyle="1" w:styleId="11">
    <w:name w:val="页眉 Char"/>
    <w:basedOn w:val="7"/>
    <w:link w:val="5"/>
    <w:uiPriority w:val="99"/>
    <w:rPr>
      <w:rFonts w:ascii="宋体" w:hAnsi="宋体" w:eastAsia="宋体" w:cs="宋体"/>
      <w:sz w:val="18"/>
      <w:szCs w:val="18"/>
      <w:lang w:val="zh-CN" w:eastAsia="zh-CN" w:bidi="zh-CN"/>
    </w:rPr>
  </w:style>
  <w:style w:type="character" w:customStyle="1" w:styleId="12">
    <w:name w:val="页脚 Char"/>
    <w:basedOn w:val="7"/>
    <w:link w:val="4"/>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59C8B-4A87-475C-86BD-65C72BB1FF4A}">
  <ds:schemaRefs/>
</ds:datastoreItem>
</file>

<file path=docProps/app.xml><?xml version="1.0" encoding="utf-8"?>
<Properties xmlns="http://schemas.openxmlformats.org/officeDocument/2006/extended-properties" xmlns:vt="http://schemas.openxmlformats.org/officeDocument/2006/docPropsVTypes">
  <Template>Normal</Template>
  <Company>USTB</Company>
  <Pages>2</Pages>
  <Words>980</Words>
  <Characters>991</Characters>
  <Lines>7</Lines>
  <Paragraphs>2</Paragraphs>
  <TotalTime>34</TotalTime>
  <ScaleCrop>false</ScaleCrop>
  <LinksUpToDate>false</LinksUpToDate>
  <CharactersWithSpaces>1007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2022-09-06T03:05:00Z</dcterms:created>
  <dc:creator>赵亚楠</dc:creator>
  <cp:lastModifiedBy>王梦瑶</cp:lastModifiedBy>
  <dcterms:modified xsi:type="dcterms:W3CDTF">2025-08-21T06:08:24Z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2013</vt:lpwstr>
  </property>
  <property fmtid="{D5CDD505-2E9C-101B-9397-08002B2CF9AE}" pid="4" name="LastSaved">
    <vt:filetime>2022-09-06T00:00:00Z</vt:filetime>
  </property>
  <property fmtid="{D5CDD505-2E9C-101B-9397-08002B2CF9AE}" pid="5" name="KSOProductBuildVer">
    <vt:lpwstr>2052-12.1.0.20305</vt:lpwstr>
  </property>
  <property fmtid="{D5CDD505-2E9C-101B-9397-08002B2CF9AE}" pid="6" name="ICV">
    <vt:lpwstr>3612DF18BB64471180462C8BF173465A</vt:lpwstr>
  </property>
  <property fmtid="{D5CDD505-2E9C-101B-9397-08002B2CF9AE}" pid="7" name="KSOTemplateDocerSaveRecord">
    <vt:lpwstr>eyJoZGlkIjoiYzRlY2U1ZDQ2MmE5N2MyMjI4OTQ3NDFkYjA0OWMxMDgiLCJ1c2VySWQiOiIxNjY0NjU4Nzc3In0=</vt:lpwstr>
  </property>
</Properties>
</file>