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DF16B7">
      <w:pPr>
        <w:jc w:val="center"/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论文抽检平台操作说明</w:t>
      </w:r>
    </w:p>
    <w:p w14:paraId="64B2CD74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请各单位于9月18日17:00前完成论文及材料上传、上传确认函。</w:t>
      </w:r>
    </w:p>
    <w:p w14:paraId="1DF32815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1、登录</w:t>
      </w:r>
      <w:r>
        <w:rPr>
          <w:rFonts w:hint="eastAsia" w:ascii="仿宋" w:hAnsi="仿宋" w:eastAsia="仿宋" w:cs="仿宋"/>
          <w:sz w:val="28"/>
          <w:szCs w:val="28"/>
        </w:rPr>
        <w:t>网址为：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https://xscj.cdgdc.edu.cn/。</w:t>
      </w:r>
    </w:p>
    <w:p w14:paraId="0DDB46AA"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2、院系用户可使用对应手机/邮箱通过登录页【重置密码】获取登录密码进行登录。登录后根据提示修改密码、完善人员基本信息。</w:t>
      </w:r>
    </w:p>
    <w:p w14:paraId="45F17D49">
      <w:r>
        <w:drawing>
          <wp:inline distT="0" distB="0" distL="114300" distR="114300">
            <wp:extent cx="5268595" cy="2327275"/>
            <wp:effectExtent l="0" t="0" r="8255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A87E5"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3、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核对并完善论文信息汇总表</w:t>
      </w:r>
    </w:p>
    <w:p w14:paraId="7EB1B13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请核对学位授予信息，所有标黄的列均为必填项，请补充完整，“查重报告文件名称”为必填项，也需补充完整。注意第2行的填写说明。</w:t>
      </w:r>
    </w:p>
    <w:p w14:paraId="36B4990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特别注意：论文PDF、查重报告PDF命名要求：请按照第二行的填写说明，其中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“考生号”改为“学号”，为了工作方便，我校统一用学号。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br w:type="textWrapping"/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Eg:查重报告命名方式为：</w:t>
      </w:r>
    </w:p>
    <w:p w14:paraId="44F553BD">
      <w:pPr>
        <w:numPr>
          <w:ilvl w:val="0"/>
          <w:numId w:val="0"/>
        </w:numPr>
        <w:rPr>
          <w:rFonts w:hint="default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highlight w:val="none"/>
          <w:lang w:val="en-US" w:eastAsia="zh-CN"/>
        </w:rPr>
        <w:t>学年度_省市代码_单位代码_专业代码_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学</w:t>
      </w:r>
      <w:r>
        <w:rPr>
          <w:rFonts w:hint="default" w:ascii="仿宋" w:hAnsi="仿宋" w:eastAsia="仿宋" w:cs="仿宋"/>
          <w:sz w:val="28"/>
          <w:szCs w:val="28"/>
          <w:highlight w:val="none"/>
          <w:lang w:val="en-US" w:eastAsia="zh-CN"/>
        </w:rPr>
        <w:t>号_CCBG.PDF。例如2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4</w:t>
      </w:r>
      <w:r>
        <w:rPr>
          <w:rFonts w:hint="default" w:ascii="仿宋" w:hAnsi="仿宋" w:eastAsia="仿宋" w:cs="仿宋"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5</w:t>
      </w:r>
      <w:r>
        <w:rPr>
          <w:rFonts w:hint="default" w:ascii="仿宋" w:hAnsi="仿宋" w:eastAsia="仿宋" w:cs="仿宋"/>
          <w:sz w:val="28"/>
          <w:szCs w:val="28"/>
          <w:highlight w:val="none"/>
          <w:lang w:val="en-US" w:eastAsia="zh-CN"/>
        </w:rPr>
        <w:t>学年度北京市（11）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北京科技</w:t>
      </w:r>
      <w:r>
        <w:rPr>
          <w:rFonts w:hint="default" w:ascii="仿宋" w:hAnsi="仿宋" w:eastAsia="仿宋" w:cs="仿宋"/>
          <w:sz w:val="28"/>
          <w:szCs w:val="28"/>
          <w:highlight w:val="none"/>
          <w:lang w:val="en-US" w:eastAsia="zh-CN"/>
        </w:rPr>
        <w:t>大学（1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0008</w:t>
      </w:r>
      <w:r>
        <w:rPr>
          <w:rFonts w:hint="default" w:ascii="仿宋" w:hAnsi="仿宋" w:eastAsia="仿宋" w:cs="仿宋"/>
          <w:sz w:val="28"/>
          <w:szCs w:val="28"/>
          <w:highlight w:val="none"/>
          <w:lang w:val="en-US" w:eastAsia="zh-CN"/>
        </w:rPr>
        <w:t>）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材料化学</w:t>
      </w:r>
      <w:r>
        <w:rPr>
          <w:rFonts w:hint="default" w:ascii="仿宋" w:hAnsi="仿宋" w:eastAsia="仿宋" w:cs="仿宋"/>
          <w:sz w:val="28"/>
          <w:szCs w:val="28"/>
          <w:highlight w:val="none"/>
          <w:lang w:val="en-US" w:eastAsia="zh-CN"/>
        </w:rPr>
        <w:t>（080403）专业，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学号</w:t>
      </w:r>
      <w:r>
        <w:rPr>
          <w:rFonts w:hint="default" w:ascii="仿宋" w:hAnsi="仿宋" w:eastAsia="仿宋" w:cs="仿宋"/>
          <w:sz w:val="28"/>
          <w:szCs w:val="28"/>
          <w:highlight w:val="none"/>
          <w:lang w:val="en-US" w:eastAsia="zh-CN"/>
        </w:rPr>
        <w:t>为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4200000</w:t>
      </w:r>
      <w:r>
        <w:rPr>
          <w:rFonts w:hint="default" w:ascii="仿宋" w:hAnsi="仿宋" w:eastAsia="仿宋" w:cs="仿宋"/>
          <w:sz w:val="28"/>
          <w:szCs w:val="28"/>
          <w:highlight w:val="none"/>
          <w:lang w:val="en-US" w:eastAsia="zh-CN"/>
        </w:rPr>
        <w:t>学生的查重报告文件命名为：2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4</w:t>
      </w:r>
      <w:r>
        <w:rPr>
          <w:rFonts w:hint="default" w:ascii="仿宋" w:hAnsi="仿宋" w:eastAsia="仿宋" w:cs="仿宋"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5</w:t>
      </w:r>
      <w:r>
        <w:rPr>
          <w:rFonts w:hint="default" w:ascii="仿宋" w:hAnsi="仿宋" w:eastAsia="仿宋" w:cs="仿宋"/>
          <w:sz w:val="28"/>
          <w:szCs w:val="28"/>
          <w:highlight w:val="none"/>
          <w:lang w:val="en-US" w:eastAsia="zh-CN"/>
        </w:rPr>
        <w:t>_11_1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0008</w:t>
      </w:r>
      <w:r>
        <w:rPr>
          <w:rFonts w:hint="default" w:ascii="仿宋" w:hAnsi="仿宋" w:eastAsia="仿宋" w:cs="仿宋"/>
          <w:sz w:val="28"/>
          <w:szCs w:val="28"/>
          <w:highlight w:val="none"/>
          <w:lang w:val="en-US" w:eastAsia="zh-CN"/>
        </w:rPr>
        <w:t>_080403_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4200000</w:t>
      </w:r>
      <w:r>
        <w:rPr>
          <w:rFonts w:hint="default" w:ascii="仿宋" w:hAnsi="仿宋" w:eastAsia="仿宋" w:cs="仿宋"/>
          <w:sz w:val="28"/>
          <w:szCs w:val="28"/>
          <w:highlight w:val="none"/>
          <w:lang w:val="en-US" w:eastAsia="zh-CN"/>
        </w:rPr>
        <w:t>_CCBG.PDF</w:t>
      </w:r>
    </w:p>
    <w:p w14:paraId="620918DA"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b/>
          <w:bCs/>
          <w:color w:val="FF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  <w:lang w:val="en-US" w:eastAsia="zh-CN" w:bidi="ar"/>
        </w:rPr>
        <w:t>注：①《论文信息汇总表》中论文、查重报告的名称，必须与实际论文、查重报告名称一致。</w:t>
      </w:r>
    </w:p>
    <w:p w14:paraId="230C1596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  <w:lang w:val="en-US" w:eastAsia="zh-CN" w:bidi="ar"/>
        </w:rPr>
        <w:t>②模板中第2行无底色内容列的学位授予信息不允许修改。</w:t>
      </w:r>
    </w:p>
    <w:p w14:paraId="6084F2E3">
      <w:pPr>
        <w:numPr>
          <w:ilvl w:val="0"/>
          <w:numId w:val="1"/>
        </w:numPr>
        <w:rPr>
          <w:rFonts w:hint="default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上传论文信息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汇总表</w:t>
      </w:r>
    </w:p>
    <w:p w14:paraId="4DD9DDA8">
      <w:pPr>
        <w:numPr>
          <w:ilvl w:val="0"/>
          <w:numId w:val="0"/>
        </w:numPr>
      </w:pPr>
      <w:r>
        <w:drawing>
          <wp:inline distT="0" distB="0" distL="114300" distR="114300">
            <wp:extent cx="5271135" cy="1866265"/>
            <wp:effectExtent l="0" t="0" r="571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252345"/>
            <wp:effectExtent l="0" t="0" r="508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4A8DF">
      <w:pPr>
        <w:numPr>
          <w:ilvl w:val="0"/>
          <w:numId w:val="1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上传成功</w:t>
      </w:r>
    </w:p>
    <w:p w14:paraId="594D7D05">
      <w:pPr>
        <w:numPr>
          <w:ilvl w:val="0"/>
          <w:numId w:val="0"/>
        </w:numPr>
      </w:pPr>
      <w:r>
        <w:drawing>
          <wp:inline distT="0" distB="0" distL="114300" distR="114300">
            <wp:extent cx="5272405" cy="1623695"/>
            <wp:effectExtent l="0" t="0" r="4445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0E2CC">
      <w:pPr>
        <w:numPr>
          <w:ilvl w:val="0"/>
          <w:numId w:val="0"/>
        </w:numPr>
      </w:pPr>
    </w:p>
    <w:p w14:paraId="7C207CBD">
      <w:pPr>
        <w:numPr>
          <w:ilvl w:val="0"/>
          <w:numId w:val="1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论文原文、查重报告、培养方案上传</w:t>
      </w:r>
    </w:p>
    <w:p w14:paraId="524E56F9">
      <w:pPr>
        <w:numPr>
          <w:ilvl w:val="0"/>
          <w:numId w:val="2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材料准备</w:t>
      </w:r>
    </w:p>
    <w:p w14:paraId="79B9922A">
      <w:pPr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PDF格式，可从北京科技大学大学生毕业论文（设计）管理系统-抽检论文上服务-抽检论文上报-抽检上报导出-导出全部学生，如下图，也可用学院留存的论文，各学院视情况而定。导出数据默认包含excel+论文+查重报告单，命名均自动生成。数据量过大请耐心等待。</w:t>
      </w:r>
    </w:p>
    <w:p w14:paraId="4D83671B"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1717040"/>
            <wp:effectExtent l="0" t="0" r="18415" b="16510"/>
            <wp:docPr id="6" name="图片 6" descr="ee969f7cd1c113905c7348b8b0244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e969f7cd1c113905c7348b8b024439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0AC91"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</w:p>
    <w:p w14:paraId="3358DC81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</w:pPr>
      <w:r>
        <w:drawing>
          <wp:inline distT="0" distB="0" distL="114300" distR="114300">
            <wp:extent cx="5271135" cy="1657985"/>
            <wp:effectExtent l="0" t="0" r="5715" b="18415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51A75">
      <w:pPr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可优先导出学生上传PDF论文，如果不是PDF论文，系统会自动转换。</w:t>
      </w:r>
    </w:p>
    <w:p w14:paraId="6AA07694">
      <w:pPr>
        <w:jc w:val="left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  <w:t>注：系统自动转换存在误差即不成功的情况，建议导出后核对转换后的文件。</w:t>
      </w:r>
    </w:p>
    <w:p w14:paraId="6D2A74F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0" w:firstLineChars="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1770" cy="2098040"/>
            <wp:effectExtent l="0" t="0" r="5080" b="16510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注意：如果导出任务选择多人，则任务名中有一个“等”，如果只导出一个人的论文，则没有“等”</w:t>
      </w:r>
    </w:p>
    <w:p w14:paraId="79AD18C9">
      <w:r>
        <w:drawing>
          <wp:inline distT="0" distB="0" distL="114300" distR="114300">
            <wp:extent cx="5269865" cy="1644650"/>
            <wp:effectExtent l="0" t="0" r="6985" b="1270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96D37"/>
    <w:p w14:paraId="7CB8A9C8"/>
    <w:p w14:paraId="37F36E28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9865" cy="483235"/>
            <wp:effectExtent l="0" t="0" r="6985" b="1206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B4649"/>
    <w:p w14:paraId="788E810D">
      <w:pPr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导出后的文件如下图所示：汇总表中含有论文题目，关键词，研究方向等教育部抽检及学位信息报送等相关字段信息。</w:t>
      </w:r>
    </w:p>
    <w:p w14:paraId="3C3F8C37">
      <w:r>
        <w:drawing>
          <wp:inline distT="0" distB="0" distL="114300" distR="114300">
            <wp:extent cx="5267325" cy="1553210"/>
            <wp:effectExtent l="0" t="0" r="9525" b="889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F423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CCBG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为查重报告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。  </w:t>
      </w:r>
    </w:p>
    <w:p w14:paraId="72F91C3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CL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，为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论文的附件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t>过程文档也在CL中。</w:t>
      </w:r>
      <w: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highlight w:val="none"/>
          <w:lang w:val="en-US" w:eastAsia="zh-CN"/>
        </w:rPr>
        <w:t>附件为选填（若为非文本类毕业设计或非文本类“其他”，则该列为必填）</w:t>
      </w:r>
      <w:r>
        <w:rPr>
          <w:rFonts w:hint="eastAsia" w:asciiTheme="minorEastAsia" w:hAnsiTheme="minorEastAsia" w:eastAsiaTheme="minorEastAsia" w:cstheme="minorEastAsia"/>
          <w:sz w:val="24"/>
          <w:szCs w:val="24"/>
          <w:highlight w:val="none"/>
          <w:lang w:val="en-US" w:eastAsia="zh-CN"/>
        </w:rPr>
        <w:t>。</w:t>
      </w:r>
    </w:p>
    <w:p w14:paraId="2D8C255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LW，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为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论文原文。毕业设计导出的是BS。</w:t>
      </w:r>
    </w:p>
    <w:p w14:paraId="4640BF71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FF0000"/>
          <w:kern w:val="0"/>
          <w:sz w:val="20"/>
          <w:szCs w:val="20"/>
          <w:lang w:val="en-US" w:eastAsia="zh-CN" w:bidi="ar"/>
        </w:rPr>
      </w:pPr>
    </w:p>
    <w:p w14:paraId="0CBFAA4E">
      <w:pPr>
        <w:keepNext w:val="0"/>
        <w:keepLines w:val="0"/>
        <w:widowControl/>
        <w:suppressLineNumbers w:val="0"/>
        <w:jc w:val="left"/>
        <w:rPr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FF0000"/>
          <w:kern w:val="0"/>
          <w:sz w:val="24"/>
          <w:szCs w:val="24"/>
          <w:highlight w:val="none"/>
          <w:lang w:val="en-US" w:eastAsia="zh-CN" w:bidi="ar"/>
        </w:rPr>
        <w:t xml:space="preserve">上传附件注意事项： </w:t>
      </w:r>
    </w:p>
    <w:p w14:paraId="335E6B02">
      <w:pPr>
        <w:keepNext w:val="0"/>
        <w:keepLines w:val="0"/>
        <w:widowControl/>
        <w:suppressLineNumbers w:val="0"/>
        <w:jc w:val="left"/>
        <w:rPr>
          <w:sz w:val="24"/>
          <w:szCs w:val="24"/>
          <w:highlight w:val="none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highlight w:val="none"/>
          <w:lang w:val="en-US" w:eastAsia="zh-CN" w:bidi="ar"/>
        </w:rPr>
        <w:t>1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  <w:lang w:val="en-US" w:eastAsia="zh-CN" w:bidi="ar"/>
        </w:rPr>
        <w:t>） 上传时仅支持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highlight w:val="none"/>
          <w:lang w:val="en-US" w:eastAsia="zh-CN" w:bidi="ar"/>
        </w:rPr>
        <w:t xml:space="preserve">.zip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  <w:lang w:val="en-US" w:eastAsia="zh-CN" w:bidi="ar"/>
        </w:rPr>
        <w:t>格式文件，请把需上传内容压缩成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highlight w:val="none"/>
          <w:lang w:val="en-US" w:eastAsia="zh-CN" w:bidi="ar"/>
        </w:rPr>
        <w:t>zip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  <w:lang w:val="en-US" w:eastAsia="zh-CN" w:bidi="ar"/>
        </w:rPr>
        <w:t>包批量上传，建议每个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highlight w:val="none"/>
          <w:lang w:val="en-US" w:eastAsia="zh-CN" w:bidi="ar"/>
        </w:rPr>
        <w:t>zip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  <w:lang w:val="en-US" w:eastAsia="zh-CN" w:bidi="ar"/>
        </w:rPr>
        <w:t>包中文件数不超过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highlight w:val="none"/>
          <w:lang w:val="en-US" w:eastAsia="zh-CN" w:bidi="ar"/>
        </w:rPr>
        <w:t>4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highlight w:val="none"/>
          <w:lang w:val="en-US" w:eastAsia="zh-CN" w:bidi="ar"/>
        </w:rPr>
        <w:t>00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  <w:lang w:val="en-US" w:eastAsia="zh-CN" w:bidi="ar"/>
        </w:rPr>
        <w:t>个，压缩包文件大小不超过2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highlight w:val="none"/>
          <w:lang w:val="en-US" w:eastAsia="zh-CN" w:bidi="ar"/>
        </w:rPr>
        <w:t>G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highlight w:val="none"/>
          <w:lang w:val="en-US" w:eastAsia="zh-CN" w:bidi="ar"/>
        </w:rPr>
        <w:t>B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  <w:lang w:val="en-US" w:eastAsia="zh-CN" w:bidi="ar"/>
        </w:rPr>
        <w:t xml:space="preserve">；压缩包内文件格式支持 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highlight w:val="none"/>
          <w:lang w:val="en-US" w:eastAsia="zh-CN" w:bidi="ar"/>
        </w:rPr>
        <w:t>pdf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  <w:lang w:val="en-US" w:eastAsia="zh-CN" w:bidi="ar"/>
        </w:rPr>
        <w:t>、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highlight w:val="none"/>
          <w:lang w:val="en-US" w:eastAsia="zh-CN" w:bidi="ar"/>
        </w:rPr>
        <w:t xml:space="preserve">zip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  <w:lang w:val="en-US" w:eastAsia="zh-CN" w:bidi="ar"/>
        </w:rPr>
        <w:t>两类格式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highlight w:val="none"/>
          <w:lang w:val="en-US" w:eastAsia="zh-CN" w:bidi="ar"/>
        </w:rPr>
        <w:t>(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  <w:lang w:val="en-US" w:eastAsia="zh-CN" w:bidi="ar"/>
        </w:rPr>
        <w:t>多媒体文件或其他格式文件请压缩为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highlight w:val="none"/>
          <w:lang w:val="en-US" w:eastAsia="zh-CN" w:bidi="ar"/>
        </w:rPr>
        <w:t>zip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  <w:lang w:val="en-US" w:eastAsia="zh-CN" w:bidi="ar"/>
        </w:rPr>
        <w:t>后再和其它材料一起批量压缩），上传时需确定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highlight w:val="none"/>
          <w:lang w:val="en-US" w:eastAsia="zh-CN" w:bidi="ar"/>
        </w:rPr>
        <w:t>zip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  <w:lang w:val="en-US" w:eastAsia="zh-CN" w:bidi="ar"/>
        </w:rPr>
        <w:t xml:space="preserve">文件名与解压后文件夹名一致。 </w:t>
      </w:r>
    </w:p>
    <w:p w14:paraId="55790DBA">
      <w:pPr>
        <w:keepNext w:val="0"/>
        <w:keepLines w:val="0"/>
        <w:widowControl/>
        <w:suppressLineNumbers w:val="0"/>
        <w:jc w:val="left"/>
        <w:rPr>
          <w:sz w:val="24"/>
          <w:szCs w:val="24"/>
          <w:highlight w:val="none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highlight w:val="none"/>
          <w:lang w:val="en-US" w:eastAsia="zh-CN" w:bidi="ar"/>
        </w:rPr>
        <w:t>2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  <w:lang w:val="en-US" w:eastAsia="zh-CN" w:bidi="ar"/>
        </w:rPr>
        <w:t>） 毕业论文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highlight w:val="none"/>
          <w:lang w:val="en-US" w:eastAsia="zh-CN" w:bidi="ar"/>
        </w:rPr>
        <w:t>/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  <w:lang w:val="en-US" w:eastAsia="zh-CN" w:bidi="ar"/>
        </w:rPr>
        <w:t>设计信息对应的所有上传内容，需放在同一个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highlight w:val="none"/>
          <w:lang w:val="en-US" w:eastAsia="zh-CN" w:bidi="ar"/>
        </w:rPr>
        <w:t>zip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  <w:lang w:val="en-US" w:eastAsia="zh-CN" w:bidi="ar"/>
        </w:rPr>
        <w:t>包中上传。（如，一名学生的论文原文及附件含：毕业论文、其他材料（含视频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highlight w:val="none"/>
          <w:lang w:val="en-US" w:eastAsia="zh-CN" w:bidi="ar"/>
        </w:rPr>
        <w:t>.mp4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  <w:lang w:val="en-US" w:eastAsia="zh-CN" w:bidi="ar"/>
        </w:rPr>
        <w:t>、图片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highlight w:val="none"/>
          <w:lang w:val="en-US" w:eastAsia="zh-CN" w:bidi="ar"/>
        </w:rPr>
        <w:t>.jpeg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  <w:lang w:val="en-US" w:eastAsia="zh-CN" w:bidi="ar"/>
        </w:rPr>
        <w:t>）、查重报告文件。需将视频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highlight w:val="none"/>
          <w:lang w:val="en-US" w:eastAsia="zh-CN" w:bidi="ar"/>
        </w:rPr>
        <w:t>.mp4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  <w:lang w:val="en-US" w:eastAsia="zh-CN" w:bidi="ar"/>
        </w:rPr>
        <w:t>、图片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highlight w:val="none"/>
          <w:lang w:val="en-US" w:eastAsia="zh-CN" w:bidi="ar"/>
        </w:rPr>
        <w:t>.jpeg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  <w:lang w:val="en-US" w:eastAsia="zh-CN" w:bidi="ar"/>
        </w:rPr>
        <w:t>等一起打包压缩为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highlight w:val="none"/>
          <w:lang w:val="en-US" w:eastAsia="zh-CN" w:bidi="ar"/>
        </w:rPr>
        <w:t>zip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  <w:lang w:val="en-US" w:eastAsia="zh-CN" w:bidi="ar"/>
        </w:rPr>
        <w:t>格式形成其他材料后，和其他附件压缩为一个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highlight w:val="none"/>
          <w:lang w:val="en-US" w:eastAsia="zh-CN" w:bidi="ar"/>
        </w:rPr>
        <w:t>zip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  <w:lang w:val="en-US" w:eastAsia="zh-CN" w:bidi="ar"/>
        </w:rPr>
        <w:t>压缩包，则上传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highlight w:val="none"/>
          <w:lang w:val="en-US" w:eastAsia="zh-CN" w:bidi="ar"/>
        </w:rPr>
        <w:t>zip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  <w:lang w:val="en-US" w:eastAsia="zh-CN" w:bidi="ar"/>
        </w:rPr>
        <w:t>包一级目录下需含论文原文或说明文件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highlight w:val="none"/>
          <w:lang w:val="en-US" w:eastAsia="zh-CN" w:bidi="ar"/>
        </w:rPr>
        <w:t>pdf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  <w:lang w:val="en-US" w:eastAsia="zh-CN" w:bidi="ar"/>
        </w:rPr>
        <w:t>、其他材料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highlight w:val="none"/>
          <w:lang w:val="en-US" w:eastAsia="zh-CN" w:bidi="ar"/>
        </w:rPr>
        <w:t>zip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  <w:lang w:val="en-US" w:eastAsia="zh-CN" w:bidi="ar"/>
        </w:rPr>
        <w:t>文件、查重报告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highlight w:val="none"/>
          <w:lang w:val="en-US" w:eastAsia="zh-CN" w:bidi="ar"/>
        </w:rPr>
        <w:t>pdf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  <w:lang w:val="en-US" w:eastAsia="zh-CN" w:bidi="ar"/>
        </w:rPr>
        <w:t>文件）</w:t>
      </w:r>
    </w:p>
    <w:p w14:paraId="71ACB48B">
      <w:pPr>
        <w:keepNext w:val="0"/>
        <w:keepLines w:val="0"/>
        <w:widowControl/>
        <w:suppressLineNumbers w:val="0"/>
        <w:jc w:val="left"/>
        <w:rPr>
          <w:sz w:val="24"/>
          <w:szCs w:val="24"/>
          <w:highlight w:val="none"/>
        </w:rPr>
      </w:pPr>
      <w:r>
        <w:rPr>
          <w:rFonts w:hint="default" w:ascii="Times New Roman" w:hAnsi="Times New Roman" w:eastAsia="宋体" w:cs="Times New Roman"/>
          <w:color w:val="FF0000"/>
          <w:kern w:val="0"/>
          <w:sz w:val="24"/>
          <w:szCs w:val="24"/>
          <w:highlight w:val="none"/>
          <w:lang w:val="en-US" w:eastAsia="zh-CN" w:bidi="ar"/>
        </w:rPr>
        <w:t xml:space="preserve">zip </w:t>
      </w:r>
      <w:r>
        <w:rPr>
          <w:rFonts w:hint="eastAsia" w:ascii="宋体" w:hAnsi="宋体" w:eastAsia="宋体" w:cs="宋体"/>
          <w:color w:val="FF0000"/>
          <w:kern w:val="0"/>
          <w:sz w:val="24"/>
          <w:szCs w:val="24"/>
          <w:highlight w:val="none"/>
          <w:lang w:val="en-US" w:eastAsia="zh-CN" w:bidi="ar"/>
        </w:rPr>
        <w:t>压缩包示例：</w:t>
      </w:r>
    </w:p>
    <w:p w14:paraId="62B2B49C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  <w:lang w:val="en-US" w:eastAsia="zh-CN" w:bidi="ar"/>
        </w:rPr>
      </w:pPr>
      <w:r>
        <w:rPr>
          <w:sz w:val="24"/>
          <w:szCs w:val="24"/>
          <w:highlight w:val="none"/>
        </w:rPr>
        <w:drawing>
          <wp:inline distT="0" distB="0" distL="114300" distR="114300">
            <wp:extent cx="5269230" cy="1853565"/>
            <wp:effectExtent l="0" t="0" r="762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D5B7C">
      <w:pPr>
        <w:numPr>
          <w:ilvl w:val="0"/>
          <w:numId w:val="0"/>
        </w:numPr>
        <w:rPr>
          <w:rFonts w:hint="default" w:ascii="仿宋" w:hAnsi="仿宋" w:eastAsia="仿宋" w:cs="仿宋"/>
          <w:sz w:val="24"/>
          <w:szCs w:val="24"/>
          <w:highlight w:val="none"/>
          <w:lang w:val="en-US" w:eastAsia="zh-CN"/>
        </w:rPr>
      </w:pPr>
      <w:r>
        <w:rPr>
          <w:sz w:val="24"/>
          <w:szCs w:val="24"/>
          <w:highlight w:val="none"/>
        </w:rPr>
        <w:drawing>
          <wp:inline distT="0" distB="0" distL="114300" distR="114300">
            <wp:extent cx="5270500" cy="2259965"/>
            <wp:effectExtent l="0" t="0" r="635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C5C4E">
      <w:pPr>
        <w:keepNext w:val="0"/>
        <w:keepLines w:val="0"/>
        <w:widowControl/>
        <w:suppressLineNumbers w:val="0"/>
        <w:jc w:val="left"/>
        <w:rPr>
          <w:sz w:val="24"/>
          <w:szCs w:val="24"/>
          <w:highlight w:val="none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highlight w:val="none"/>
          <w:lang w:val="en-US" w:eastAsia="zh-CN" w:bidi="ar"/>
        </w:rPr>
        <w:t>3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  <w:lang w:val="en-US" w:eastAsia="zh-CN" w:bidi="ar"/>
        </w:rPr>
        <w:t>） 单次上传附件的压缩包大小不超过2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highlight w:val="none"/>
          <w:lang w:val="en-US" w:eastAsia="zh-CN" w:bidi="ar"/>
        </w:rPr>
        <w:t>G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highlight w:val="none"/>
          <w:lang w:val="en-US" w:eastAsia="zh-CN" w:bidi="ar"/>
        </w:rPr>
        <w:t>B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  <w:lang w:val="en-US" w:eastAsia="zh-CN" w:bidi="ar"/>
        </w:rPr>
        <w:t>，若附件过大，建议分批次上传附件，单次上传附件数不超过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:highlight w:val="none"/>
          <w:lang w:val="en-US" w:eastAsia="zh-CN" w:bidi="ar"/>
        </w:rPr>
        <w:t>4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highlight w:val="none"/>
          <w:lang w:val="en-US" w:eastAsia="zh-CN" w:bidi="ar"/>
        </w:rPr>
        <w:t>00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  <w:lang w:val="en-US" w:eastAsia="zh-CN" w:bidi="ar"/>
        </w:rPr>
        <w:t xml:space="preserve">个。 </w:t>
      </w:r>
    </w:p>
    <w:p w14:paraId="4C5C69B5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0"/>
          <w:szCs w:val="20"/>
          <w:highlight w:val="none"/>
          <w:lang w:val="en-US" w:eastAsia="zh-CN" w:bidi="ar"/>
        </w:rPr>
      </w:pPr>
      <w:r>
        <w:rPr>
          <w:rFonts w:ascii="Arial" w:hAnsi="Arial" w:eastAsia="宋体" w:cs="Arial"/>
          <w:color w:val="000000"/>
          <w:kern w:val="0"/>
          <w:sz w:val="24"/>
          <w:szCs w:val="24"/>
          <w:highlight w:val="none"/>
          <w:lang w:val="en-US" w:eastAsia="zh-CN" w:bidi="ar"/>
        </w:rPr>
        <w:t>4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  <w:lang w:val="en-US" w:eastAsia="zh-CN" w:bidi="ar"/>
        </w:rPr>
        <w:t>） 压缩包中的文件名称要与论文信息汇总表中的“【论文原文或说明文件名称】、【其他材料文件名称】【查重报告文件名称】”内容一致，否则会被系统默认为无效文件删除。</w:t>
      </w:r>
    </w:p>
    <w:p w14:paraId="5BEE1FB9"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</w:p>
    <w:p w14:paraId="4F976957"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（2）论文、查重报告及其他材料上传</w:t>
      </w:r>
    </w:p>
    <w:p w14:paraId="614F7325"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步骤 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：点击【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3.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论文原文及附件上传】</w:t>
      </w:r>
    </w:p>
    <w:p w14:paraId="35F73FB7"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1135" cy="2277745"/>
            <wp:effectExtent l="0" t="0" r="5715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0D84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 w14:paraId="13EA1A7E"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步骤 2：点击【选择文件】</w:t>
      </w:r>
    </w:p>
    <w:p w14:paraId="74E866E3"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040" cy="2432050"/>
            <wp:effectExtent l="0" t="0" r="381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BCBA0"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步骤 3：选择需上传论文原文及附件 zip 压缩包</w:t>
      </w:r>
    </w:p>
    <w:p w14:paraId="577D74C2">
      <w:pPr>
        <w:numPr>
          <w:ilvl w:val="0"/>
          <w:numId w:val="0"/>
        </w:numPr>
      </w:pPr>
      <w:r>
        <w:drawing>
          <wp:inline distT="0" distB="0" distL="114300" distR="114300">
            <wp:extent cx="5269865" cy="3255645"/>
            <wp:effectExtent l="0" t="0" r="6985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9E089"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若上传附件后，材料齐全数量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=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论文数量，且状态是【材料齐全】，表示当前批次汇总表中的论文的原文及相关材料已上传完成。</w:t>
      </w:r>
    </w:p>
    <w:p w14:paraId="643DC714">
      <w:pPr>
        <w:numPr>
          <w:ilvl w:val="0"/>
          <w:numId w:val="0"/>
        </w:numPr>
      </w:pPr>
      <w:r>
        <w:drawing>
          <wp:inline distT="0" distB="0" distL="114300" distR="114300">
            <wp:extent cx="5274310" cy="1663065"/>
            <wp:effectExtent l="0" t="0" r="2540" b="133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290E4"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（7）论文信息提交</w:t>
      </w:r>
    </w:p>
    <w:p w14:paraId="2B0CCA01"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论文及材料上传完成后，下载单位确认函，上传盖章确认函。</w:t>
      </w:r>
    </w:p>
    <w:p w14:paraId="32D1BC9C"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注意事项：</w:t>
      </w:r>
    </w:p>
    <w:p w14:paraId="4AC635B7">
      <w:pPr>
        <w:numPr>
          <w:ilvl w:val="0"/>
          <w:numId w:val="3"/>
        </w:numP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确保上传论文材料无损坏，能够打开，以免影响评审。根据教育部教育督导局要求，不能打开的论文将被认定为问题论文。</w:t>
      </w:r>
    </w:p>
    <w:p w14:paraId="3F3461DE">
      <w:pPr>
        <w:numPr>
          <w:ilvl w:val="0"/>
          <w:numId w:val="3"/>
        </w:numPr>
        <w:rPr>
          <w:rFonts w:hint="default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今年上传论文的同时须上传《培养方案》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val="en-US" w:eastAsia="zh-CN"/>
        </w:rPr>
        <w:t>（由教学科统一上传，如有培养方案不完善的，会单独联系相关单位，请各单位配合）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和《查重报告》。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br w:type="textWrapping"/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教学科整理完培养方案，会请各学院核对、确认。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br w:type="textWrapping"/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3、对于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val="en-US" w:eastAsia="zh-CN"/>
        </w:rPr>
        <w:t>主辅修或双学位论文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，确保论文内容与论文信息汇总表中专业信息相对应，切勿出现专业信息为甲专业，但论文</w:t>
      </w:r>
      <w:bookmarkStart w:id="0" w:name="_GoBack"/>
      <w:bookmarkEnd w:id="0"/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内容是乙专业的情况，否则将会被认定为问题论文。</w:t>
      </w:r>
    </w:p>
    <w:p w14:paraId="6A14834A"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4、上传论文封面题目与论文信息汇总表中“论文题目”需一致。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4D438A"/>
    <w:multiLevelType w:val="singleLevel"/>
    <w:tmpl w:val="8D4D438A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DA764AE2"/>
    <w:multiLevelType w:val="singleLevel"/>
    <w:tmpl w:val="DA764AE2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68C37A5E"/>
    <w:multiLevelType w:val="singleLevel"/>
    <w:tmpl w:val="68C37A5E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JiNWZkMDM4YjM5MzBiY2U5ZWYwZDk5NTBjNzUwNjgifQ=="/>
  </w:docVars>
  <w:rsids>
    <w:rsidRoot w:val="00000000"/>
    <w:rsid w:val="02EA60A8"/>
    <w:rsid w:val="06047AB6"/>
    <w:rsid w:val="0CD72873"/>
    <w:rsid w:val="0D2A1D10"/>
    <w:rsid w:val="128D6FC9"/>
    <w:rsid w:val="16134702"/>
    <w:rsid w:val="162D644C"/>
    <w:rsid w:val="164D1933"/>
    <w:rsid w:val="17F83137"/>
    <w:rsid w:val="18E67433"/>
    <w:rsid w:val="18FF04F5"/>
    <w:rsid w:val="1BDA4758"/>
    <w:rsid w:val="1DEF1AA5"/>
    <w:rsid w:val="25B6018D"/>
    <w:rsid w:val="2A77438F"/>
    <w:rsid w:val="2B290A23"/>
    <w:rsid w:val="2F310F9F"/>
    <w:rsid w:val="304573E5"/>
    <w:rsid w:val="375A306E"/>
    <w:rsid w:val="38BF182A"/>
    <w:rsid w:val="390A460D"/>
    <w:rsid w:val="3A223C8A"/>
    <w:rsid w:val="3D9578C6"/>
    <w:rsid w:val="3F9B2476"/>
    <w:rsid w:val="406B4C91"/>
    <w:rsid w:val="40F670EB"/>
    <w:rsid w:val="41456B3D"/>
    <w:rsid w:val="41782A6F"/>
    <w:rsid w:val="43252782"/>
    <w:rsid w:val="438879F1"/>
    <w:rsid w:val="440E78E6"/>
    <w:rsid w:val="44ED2FD3"/>
    <w:rsid w:val="46DF23A2"/>
    <w:rsid w:val="498B13F1"/>
    <w:rsid w:val="4A1C2405"/>
    <w:rsid w:val="4C651E42"/>
    <w:rsid w:val="50256CE3"/>
    <w:rsid w:val="57816E7F"/>
    <w:rsid w:val="5A166E71"/>
    <w:rsid w:val="5A645006"/>
    <w:rsid w:val="5CBA40E2"/>
    <w:rsid w:val="5E696EEC"/>
    <w:rsid w:val="653A002A"/>
    <w:rsid w:val="6656023A"/>
    <w:rsid w:val="753E6233"/>
    <w:rsid w:val="76927BF2"/>
    <w:rsid w:val="7A320025"/>
    <w:rsid w:val="7CC94D01"/>
    <w:rsid w:val="7CDC10C3"/>
    <w:rsid w:val="7DA20010"/>
    <w:rsid w:val="7E971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1782</Words>
  <Characters>1960</Characters>
  <Lines>0</Lines>
  <Paragraphs>0</Paragraphs>
  <TotalTime>5</TotalTime>
  <ScaleCrop>false</ScaleCrop>
  <LinksUpToDate>false</LinksUpToDate>
  <CharactersWithSpaces>1978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丁源</cp:lastModifiedBy>
  <dcterms:modified xsi:type="dcterms:W3CDTF">2025-09-03T02:43:50Z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BACBC620C7FA4C839289BA08BE702ABE_12</vt:lpwstr>
  </property>
  <property fmtid="{D5CDD505-2E9C-101B-9397-08002B2CF9AE}" pid="4" name="KSOTemplateDocerSaveRecord">
    <vt:lpwstr>eyJoZGlkIjoiNzQ1YjEzY2M1NTM3ZTk3M2I5ZWRlNWQ5OWQ4ZWE0ZWUiLCJ1c2VySWQiOiIxNjM5MzE4NjA2In0=</vt:lpwstr>
  </property>
</Properties>
</file>