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74797">
      <w:pPr>
        <w:spacing w:before="109" w:beforeLines="35" w:line="520" w:lineRule="exact"/>
        <w:jc w:val="center"/>
        <w:rPr>
          <w:rFonts w:ascii="Times New Roman" w:hAnsi="Times New Roman" w:eastAsia="方正小标宋简体" w:cs="Times New Roman"/>
          <w:b/>
          <w:bCs/>
          <w:color w:val="000000" w:themeColor="text1"/>
          <w:sz w:val="36"/>
          <w:szCs w:val="36"/>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日语与跨文化交际微专业招生简章</w:t>
      </w:r>
    </w:p>
    <w:bookmarkEnd w:id="0"/>
    <w:p w14:paraId="77A9B009">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3EF7DF5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专业由外国语学院创设，培养周期为1年，包括日语语言、日语会话、日本文化和社会、跨文化交际等7门核心课程，共16个学分。课程内容以日语语言为基础，形成涵盖日本文化、社会、文学，以及跨文化交际等全方位的课程体系，可满足学生线上、线下的多元化学习需求。</w:t>
      </w:r>
    </w:p>
    <w:p w14:paraId="0368EE1F">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26650032">
      <w:pPr>
        <w:spacing w:before="109" w:beforeLines="35" w:line="500" w:lineRule="exact"/>
        <w:ind w:firstLine="560" w:firstLineChars="200"/>
        <w:jc w:val="left"/>
        <w:rPr>
          <w:rFonts w:ascii="仿宋" w:hAnsi="仿宋" w:eastAsia="仿宋" w:cs="仿宋"/>
          <w:bCs/>
          <w:color w:val="000000" w:themeColor="text1"/>
          <w:sz w:val="28"/>
          <w:szCs w:val="28"/>
          <w14:textFill>
            <w14:solidFill>
              <w14:schemeClr w14:val="tx1"/>
            </w14:solidFill>
          </w14:textFill>
        </w:rPr>
      </w:pPr>
      <w:r>
        <w:rPr>
          <w:rFonts w:hint="eastAsia" w:ascii="仿宋" w:hAnsi="仿宋" w:eastAsia="仿宋" w:cs="仿宋"/>
          <w:bCs/>
          <w:color w:val="000000" w:themeColor="text1"/>
          <w:sz w:val="28"/>
          <w:szCs w:val="28"/>
          <w14:textFill>
            <w14:solidFill>
              <w14:schemeClr w14:val="tx1"/>
            </w14:solidFill>
          </w14:textFill>
        </w:rPr>
        <w:t>本专业旨在培养具有家国情怀和国际视野、掌握初步的日语听说读写等实践运用能力、具备良好的跨文化交流能力以及多元的发展潜质，能胜任主专业学科领域涉日业务相关工作的跨学科复合型国际化人才。</w:t>
      </w:r>
    </w:p>
    <w:p w14:paraId="4BA5F7B9">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244A6B71">
      <w:pPr>
        <w:spacing w:before="109" w:beforeLines="35" w:line="500" w:lineRule="exact"/>
        <w:ind w:left="2035" w:leftChars="300" w:hanging="1405" w:hangingChars="500"/>
        <w:jc w:val="left"/>
        <w:rPr>
          <w:rFonts w:ascii="宋体" w:hAnsi="宋体" w:eastAsia="宋体" w:cs="宋体"/>
          <w:b/>
          <w:bCs/>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color w:val="000000" w:themeColor="text1"/>
          <w:sz w:val="28"/>
          <w:szCs w:val="28"/>
          <w14:textFill>
            <w14:solidFill>
              <w14:schemeClr w14:val="tx1"/>
            </w14:solidFill>
          </w14:textFill>
        </w:rPr>
        <w:t>本专业招生对象面向本校所有全日制本科生招生，所在学科、专业、先修课程不限。</w:t>
      </w:r>
    </w:p>
    <w:p w14:paraId="06967031">
      <w:pPr>
        <w:spacing w:before="109" w:beforeLines="35" w:line="500" w:lineRule="exact"/>
        <w:ind w:left="596" w:leftChars="284"/>
        <w:jc w:val="left"/>
        <w:rPr>
          <w:rFonts w:ascii="仿宋" w:hAnsi="仿宋" w:eastAsia="仿宋" w:cs="仿宋"/>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ascii="仿宋" w:hAnsi="仿宋" w:eastAsia="仿宋" w:cs="仿宋"/>
          <w:color w:val="000000" w:themeColor="text1"/>
          <w:sz w:val="28"/>
          <w:szCs w:val="28"/>
          <w14:textFill>
            <w14:solidFill>
              <w14:schemeClr w14:val="tx1"/>
            </w14:solidFill>
          </w14:textFill>
        </w:rPr>
        <w:t>20</w:t>
      </w:r>
      <w:r>
        <w:rPr>
          <w:rFonts w:hint="eastAsia" w:ascii="仿宋" w:hAnsi="仿宋" w:eastAsia="仿宋" w:cs="仿宋"/>
          <w:color w:val="000000" w:themeColor="text1"/>
          <w:sz w:val="28"/>
          <w:szCs w:val="28"/>
          <w14:textFill>
            <w14:solidFill>
              <w14:schemeClr w14:val="tx1"/>
            </w14:solidFill>
          </w14:textFill>
        </w:rPr>
        <w:t>人</w:t>
      </w:r>
      <w:r>
        <w:rPr>
          <w:rFonts w:ascii="Times New Roman" w:hAnsi="Times New Roman" w:eastAsia="仿宋_GB2312" w:cs="Times New Roman"/>
          <w:color w:val="000000" w:themeColor="text1"/>
          <w:sz w:val="30"/>
          <w:szCs w:val="30"/>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仿宋" w:hAnsi="仿宋" w:eastAsia="仿宋" w:cs="仿宋"/>
          <w:color w:val="000000" w:themeColor="text1"/>
          <w:sz w:val="28"/>
          <w:szCs w:val="28"/>
          <w14:textFill>
            <w14:solidFill>
              <w14:schemeClr w14:val="tx1"/>
            </w14:solidFill>
          </w14:textFill>
        </w:rPr>
        <w:t xml:space="preserve">学生须学有余力，有意向拓展自己的专业视域以跨专业   </w:t>
      </w:r>
    </w:p>
    <w:p w14:paraId="7C0B6B19">
      <w:pPr>
        <w:spacing w:before="109" w:beforeLines="35" w:line="500" w:lineRule="exact"/>
        <w:ind w:left="596" w:leftChars="284" w:firstLine="1400" w:firstLineChars="5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学习日语领域相关专业知识。</w:t>
      </w:r>
    </w:p>
    <w:p w14:paraId="6DDCAF6C">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769E2473">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1年/2个学期</w:t>
      </w:r>
    </w:p>
    <w:p w14:paraId="6EECD071">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16学分</w:t>
      </w:r>
    </w:p>
    <w:p w14:paraId="403E8381">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color w:val="000000" w:themeColor="text1"/>
          <w:sz w:val="28"/>
          <w:szCs w:val="28"/>
          <w14:textFill>
            <w14:solidFill>
              <w14:schemeClr w14:val="tx1"/>
            </w14:solidFill>
          </w14:textFill>
        </w:rPr>
        <w:t>在学期间应完成本专业培养计划规定的课程，修满学分，各项考核合格。</w:t>
      </w:r>
    </w:p>
    <w:p w14:paraId="223B563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20BC8CB3">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拟开设</w:t>
      </w:r>
      <w:r>
        <w:rPr>
          <w:rFonts w:hint="eastAsia" w:ascii="Times New Roman" w:hAnsi="Times New Roman" w:eastAsia="仿宋_GB2312" w:cs="Times New Roman"/>
          <w:color w:val="000000" w:themeColor="text1"/>
          <w:sz w:val="28"/>
          <w:szCs w:val="28"/>
          <w14:textFill>
            <w14:solidFill>
              <w14:schemeClr w14:val="tx1"/>
            </w14:solidFill>
          </w14:textFill>
        </w:rPr>
        <w:t>7</w:t>
      </w:r>
      <w:r>
        <w:rPr>
          <w:rFonts w:ascii="Times New Roman" w:hAnsi="Times New Roman" w:eastAsia="仿宋_GB2312" w:cs="Times New Roman"/>
          <w:color w:val="000000" w:themeColor="text1"/>
          <w:sz w:val="28"/>
          <w:szCs w:val="28"/>
          <w14:textFill>
            <w14:solidFill>
              <w14:schemeClr w14:val="tx1"/>
            </w14:solidFill>
          </w14:textFill>
        </w:rPr>
        <w:t>门课程。</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835"/>
        <w:gridCol w:w="2758"/>
        <w:gridCol w:w="1057"/>
        <w:gridCol w:w="1084"/>
        <w:gridCol w:w="1238"/>
      </w:tblGrid>
      <w:tr w14:paraId="64B1F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66CEB0AD">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537" w:type="pct"/>
            <w:vAlign w:val="center"/>
          </w:tcPr>
          <w:p w14:paraId="1333E6E3">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018E8DE9">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3012B558">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6984D6D0">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577B5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4DE76B3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基础日语（I）</w:t>
            </w:r>
          </w:p>
        </w:tc>
        <w:tc>
          <w:tcPr>
            <w:tcW w:w="1537" w:type="pct"/>
            <w:vAlign w:val="center"/>
          </w:tcPr>
          <w:p w14:paraId="1313997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55C008A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0D80825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vAlign w:val="center"/>
          </w:tcPr>
          <w:p w14:paraId="63EBBDF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2E6F4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1992FF7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日语视听说</w:t>
            </w:r>
          </w:p>
        </w:tc>
        <w:tc>
          <w:tcPr>
            <w:tcW w:w="1537" w:type="pct"/>
            <w:vAlign w:val="center"/>
          </w:tcPr>
          <w:p w14:paraId="3791343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014103C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229329F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vAlign w:val="center"/>
          </w:tcPr>
          <w:p w14:paraId="1EB3F112">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083AF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shd w:val="clear" w:color="auto" w:fill="auto"/>
            <w:vAlign w:val="center"/>
          </w:tcPr>
          <w:p w14:paraId="2DCDB33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日本大众文化</w:t>
            </w:r>
          </w:p>
        </w:tc>
        <w:tc>
          <w:tcPr>
            <w:tcW w:w="1537" w:type="pct"/>
            <w:shd w:val="clear" w:color="auto" w:fill="auto"/>
            <w:vAlign w:val="center"/>
          </w:tcPr>
          <w:p w14:paraId="60327A1B">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shd w:val="clear" w:color="auto" w:fill="auto"/>
            <w:vAlign w:val="center"/>
          </w:tcPr>
          <w:p w14:paraId="49F4E91F">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shd w:val="clear" w:color="auto" w:fill="auto"/>
            <w:vAlign w:val="center"/>
          </w:tcPr>
          <w:p w14:paraId="5254E96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shd w:val="clear" w:color="auto" w:fill="auto"/>
            <w:vAlign w:val="center"/>
          </w:tcPr>
          <w:p w14:paraId="1D2D44E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考察</w:t>
            </w:r>
          </w:p>
        </w:tc>
      </w:tr>
      <w:tr w14:paraId="0826C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c>
          <w:tcPr>
            <w:tcW w:w="1580" w:type="pct"/>
            <w:vAlign w:val="center"/>
          </w:tcPr>
          <w:p w14:paraId="3E1F90E6">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基础日语（II）</w:t>
            </w:r>
          </w:p>
        </w:tc>
        <w:tc>
          <w:tcPr>
            <w:tcW w:w="1537" w:type="pct"/>
            <w:vAlign w:val="center"/>
          </w:tcPr>
          <w:p w14:paraId="4F7DE87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2490C879">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604" w:type="pct"/>
            <w:vAlign w:val="center"/>
          </w:tcPr>
          <w:p w14:paraId="4BFB31A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64</w:t>
            </w:r>
          </w:p>
        </w:tc>
        <w:tc>
          <w:tcPr>
            <w:tcW w:w="690" w:type="pct"/>
            <w:vAlign w:val="center"/>
          </w:tcPr>
          <w:p w14:paraId="79F3444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FF4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315" w:hRule="atLeast"/>
        </w:trPr>
        <w:tc>
          <w:tcPr>
            <w:tcW w:w="1580" w:type="pct"/>
            <w:vAlign w:val="center"/>
          </w:tcPr>
          <w:p w14:paraId="70FBF8D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日语会话</w:t>
            </w:r>
          </w:p>
        </w:tc>
        <w:tc>
          <w:tcPr>
            <w:tcW w:w="1537" w:type="pct"/>
          </w:tcPr>
          <w:p w14:paraId="59B4411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2991AC6E">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41D08EB7">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tcPr>
          <w:p w14:paraId="3834993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考试/口试</w:t>
            </w:r>
          </w:p>
        </w:tc>
      </w:tr>
      <w:tr w14:paraId="02049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315" w:hRule="atLeast"/>
        </w:trPr>
        <w:tc>
          <w:tcPr>
            <w:tcW w:w="1580" w:type="pct"/>
            <w:vAlign w:val="center"/>
          </w:tcPr>
          <w:p w14:paraId="0ED79E63">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日语阅读</w:t>
            </w:r>
          </w:p>
        </w:tc>
        <w:tc>
          <w:tcPr>
            <w:tcW w:w="1537" w:type="pct"/>
          </w:tcPr>
          <w:p w14:paraId="2858E006">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3990B231">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43A1B43C">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tcPr>
          <w:p w14:paraId="3ED6A3D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213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79" w:hRule="atLeast"/>
        </w:trPr>
        <w:tc>
          <w:tcPr>
            <w:tcW w:w="1580" w:type="pct"/>
            <w:vAlign w:val="center"/>
          </w:tcPr>
          <w:p w14:paraId="7B8C19DD">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跨文化交际</w:t>
            </w:r>
          </w:p>
        </w:tc>
        <w:tc>
          <w:tcPr>
            <w:tcW w:w="1537" w:type="pct"/>
          </w:tcPr>
          <w:p w14:paraId="3FE05E8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1B150E68">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7F70C054">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tcPr>
          <w:p w14:paraId="0EDBD070">
            <w:pPr>
              <w:spacing w:before="109" w:beforeLines="35"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考试/考察</w:t>
            </w:r>
          </w:p>
        </w:tc>
      </w:tr>
    </w:tbl>
    <w:p w14:paraId="4652CF12">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53C74F61">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4E33A30A">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41A72CAF">
      <w:pPr>
        <w:spacing w:before="109" w:beforeLines="35" w:line="500" w:lineRule="exact"/>
        <w:ind w:firstLine="560" w:firstLineChars="200"/>
        <w:jc w:val="left"/>
        <w:rPr>
          <w:rFonts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将以下材料按照顺序扫描为一个PDF，命名要求：XX，报名时同步上传。</w:t>
      </w:r>
    </w:p>
    <w:p w14:paraId="42417BC4">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1．外国语学院微专业申请表（模板见附表）；</w:t>
      </w:r>
    </w:p>
    <w:p w14:paraId="30F5F4DC">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4AC2B83D">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267714EA">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4AA7EA07">
      <w:pPr>
        <w:spacing w:before="109" w:beforeLines="35" w:line="500" w:lineRule="exact"/>
        <w:ind w:firstLine="562" w:firstLineChars="200"/>
        <w:jc w:val="left"/>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bookmarkStart w:id="1" w:name="_GoBack"/>
      <w:bookmarkEnd w:id="1"/>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23876149">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bCs/>
          <w:color w:val="000000" w:themeColor="text1"/>
          <w:sz w:val="28"/>
          <w:szCs w:val="28"/>
          <w14:textFill>
            <w14:solidFill>
              <w14:schemeClr w14:val="tx1"/>
            </w14:solidFill>
          </w14:textFill>
        </w:rPr>
        <w:t>书面材料选拔</w:t>
      </w:r>
    </w:p>
    <w:p w14:paraId="371F0475">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外国语学院审查申请微专业学生材料，确定符合接收条件的学生名单。</w:t>
      </w:r>
    </w:p>
    <w:p w14:paraId="5453BCF2">
      <w:pPr>
        <w:spacing w:before="109" w:beforeLines="35" w:line="500" w:lineRule="exact"/>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七、联系方式</w:t>
      </w:r>
    </w:p>
    <w:p w14:paraId="7E28B1C5">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联系地址：外国语学院办公室</w:t>
      </w:r>
    </w:p>
    <w:p w14:paraId="32AFEBB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联系电话：62334741</w:t>
      </w:r>
    </w:p>
    <w:p w14:paraId="3868586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联系邮箱：yuanshuai</w:t>
      </w:r>
      <w:r>
        <w:rPr>
          <w:rFonts w:ascii="仿宋" w:hAnsi="仿宋" w:eastAsia="仿宋" w:cs="仿宋"/>
          <w:color w:val="000000" w:themeColor="text1"/>
          <w:sz w:val="28"/>
          <w:szCs w:val="28"/>
          <w14:textFill>
            <w14:solidFill>
              <w14:schemeClr w14:val="tx1"/>
            </w14:solidFill>
          </w14:textFill>
        </w:rPr>
        <w:t>@ustb.edu.cn</w:t>
      </w:r>
    </w:p>
    <w:p w14:paraId="41316B4E">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联系人：原帅</w:t>
      </w:r>
    </w:p>
    <w:p w14:paraId="27C4326F">
      <w:pPr>
        <w:spacing w:before="109" w:beforeLines="35" w:line="500" w:lineRule="exact"/>
        <w:ind w:firstLine="600" w:firstLineChars="200"/>
        <w:jc w:val="left"/>
        <w:rPr>
          <w:rFonts w:ascii="Times New Roman" w:hAnsi="Times New Roman" w:eastAsia="仿宋_GB2312" w:cs="Times New Roman"/>
          <w:color w:val="000000" w:themeColor="text1"/>
          <w:sz w:val="30"/>
          <w:szCs w:val="30"/>
          <w14:textFill>
            <w14:solidFill>
              <w14:schemeClr w14:val="tx1"/>
            </w14:solidFill>
          </w14:textFill>
        </w:rPr>
      </w:pPr>
    </w:p>
    <w:p w14:paraId="3CBE6EF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附表：外国语学院日语与跨文化交际微专业申请表</w:t>
      </w:r>
    </w:p>
    <w:p w14:paraId="33DE0C3B">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外国语学院</w:t>
      </w:r>
    </w:p>
    <w:p w14:paraId="41C89C50">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2025年2月24日</w:t>
      </w:r>
    </w:p>
    <w:p w14:paraId="46D6C014">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44834651">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外国语学院日语与跨文化交际微专业申请表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34EA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4AB9542F">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4F722390">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470F4247">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6F9985F9">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39D9A724">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0D1291A9">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06EB8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0C3FBC36">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607DBF8B">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4136FEA">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11A73A01">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11B40340">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1F954FED">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74CD6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01A7F6EF">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33F4622B">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0FBC8185">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39FB2771">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05C4C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5C2E119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6EFC0F53">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7E4E53BD">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7C83B98A">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4BCAC6BF">
            <w:pPr>
              <w:jc w:val="center"/>
              <w:rPr>
                <w:rFonts w:ascii="华文仿宋" w:hAnsi="华文仿宋" w:eastAsia="华文仿宋" w:cs="华文仿宋"/>
                <w:color w:val="000000" w:themeColor="text1"/>
                <w14:textFill>
                  <w14:solidFill>
                    <w14:schemeClr w14:val="tx1"/>
                  </w14:solidFill>
                </w14:textFill>
              </w:rPr>
            </w:pPr>
          </w:p>
        </w:tc>
      </w:tr>
      <w:tr w14:paraId="12289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08A9E09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19D3F2C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1E766ECF">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5E986989">
            <w:pPr>
              <w:jc w:val="center"/>
              <w:rPr>
                <w:rFonts w:ascii="华文仿宋" w:hAnsi="华文仿宋" w:eastAsia="华文仿宋" w:cs="华文仿宋"/>
                <w:color w:val="000000" w:themeColor="text1"/>
                <w14:textFill>
                  <w14:solidFill>
                    <w14:schemeClr w14:val="tx1"/>
                  </w14:solidFill>
                </w14:textFill>
              </w:rPr>
            </w:pPr>
          </w:p>
          <w:p w14:paraId="3AE26F1A">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4E1941D6">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61874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09226DC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6A46204E">
            <w:pPr>
              <w:jc w:val="center"/>
              <w:rPr>
                <w:rFonts w:ascii="华文仿宋" w:hAnsi="华文仿宋" w:eastAsia="华文仿宋" w:cs="华文仿宋"/>
                <w:color w:val="000000" w:themeColor="text1"/>
                <w14:textFill>
                  <w14:solidFill>
                    <w14:schemeClr w14:val="tx1"/>
                  </w14:solidFill>
                </w14:textFill>
              </w:rPr>
            </w:pPr>
          </w:p>
        </w:tc>
      </w:tr>
      <w:tr w14:paraId="5CF6C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46879FAD">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2D10D342">
            <w:pPr>
              <w:jc w:val="center"/>
              <w:rPr>
                <w:rFonts w:ascii="华文仿宋" w:hAnsi="华文仿宋" w:eastAsia="华文仿宋" w:cs="华文仿宋"/>
                <w:color w:val="000000" w:themeColor="text1"/>
                <w14:textFill>
                  <w14:solidFill>
                    <w14:schemeClr w14:val="tx1"/>
                  </w14:solidFill>
                </w14:textFill>
              </w:rPr>
            </w:pPr>
          </w:p>
          <w:p w14:paraId="5941FAF1">
            <w:pPr>
              <w:jc w:val="center"/>
              <w:rPr>
                <w:rFonts w:ascii="华文仿宋" w:hAnsi="华文仿宋" w:eastAsia="华文仿宋" w:cs="华文仿宋"/>
                <w:color w:val="000000" w:themeColor="text1"/>
                <w14:textFill>
                  <w14:solidFill>
                    <w14:schemeClr w14:val="tx1"/>
                  </w14:solidFill>
                </w14:textFill>
              </w:rPr>
            </w:pPr>
          </w:p>
          <w:p w14:paraId="0F3E7D30">
            <w:pPr>
              <w:rPr>
                <w:rFonts w:ascii="华文仿宋" w:hAnsi="华文仿宋" w:eastAsia="华文仿宋" w:cs="华文仿宋"/>
                <w:color w:val="000000" w:themeColor="text1"/>
                <w14:textFill>
                  <w14:solidFill>
                    <w14:schemeClr w14:val="tx1"/>
                  </w14:solidFill>
                </w14:textFill>
              </w:rPr>
            </w:pPr>
          </w:p>
          <w:p w14:paraId="5B39B5FA">
            <w:pPr>
              <w:jc w:val="center"/>
              <w:rPr>
                <w:rFonts w:ascii="华文仿宋" w:hAnsi="华文仿宋" w:eastAsia="华文仿宋" w:cs="华文仿宋"/>
                <w:color w:val="000000" w:themeColor="text1"/>
                <w14:textFill>
                  <w14:solidFill>
                    <w14:schemeClr w14:val="tx1"/>
                  </w14:solidFill>
                </w14:textFill>
              </w:rPr>
            </w:pPr>
          </w:p>
          <w:p w14:paraId="39483AE8">
            <w:pPr>
              <w:jc w:val="center"/>
              <w:rPr>
                <w:rFonts w:ascii="华文仿宋" w:hAnsi="华文仿宋" w:eastAsia="华文仿宋" w:cs="华文仿宋"/>
                <w:color w:val="000000" w:themeColor="text1"/>
                <w14:textFill>
                  <w14:solidFill>
                    <w14:schemeClr w14:val="tx1"/>
                  </w14:solidFill>
                </w14:textFill>
              </w:rPr>
            </w:pPr>
          </w:p>
          <w:p w14:paraId="1F3F86FB">
            <w:pPr>
              <w:jc w:val="center"/>
              <w:rPr>
                <w:rFonts w:ascii="华文仿宋" w:hAnsi="华文仿宋" w:eastAsia="华文仿宋" w:cs="华文仿宋"/>
                <w:color w:val="000000" w:themeColor="text1"/>
                <w14:textFill>
                  <w14:solidFill>
                    <w14:schemeClr w14:val="tx1"/>
                  </w14:solidFill>
                </w14:textFill>
              </w:rPr>
            </w:pPr>
          </w:p>
        </w:tc>
      </w:tr>
      <w:tr w14:paraId="2F29F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76CCA40A">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3ED10E52">
            <w:pPr>
              <w:jc w:val="center"/>
              <w:rPr>
                <w:rFonts w:ascii="华文仿宋" w:hAnsi="华文仿宋" w:eastAsia="华文仿宋" w:cs="华文仿宋"/>
                <w:color w:val="000000" w:themeColor="text1"/>
                <w14:textFill>
                  <w14:solidFill>
                    <w14:schemeClr w14:val="tx1"/>
                  </w14:solidFill>
                </w14:textFill>
              </w:rPr>
            </w:pPr>
          </w:p>
          <w:p w14:paraId="7E1E85CE">
            <w:pPr>
              <w:jc w:val="center"/>
              <w:rPr>
                <w:rFonts w:ascii="华文仿宋" w:hAnsi="华文仿宋" w:eastAsia="华文仿宋" w:cs="华文仿宋"/>
                <w:color w:val="000000" w:themeColor="text1"/>
                <w14:textFill>
                  <w14:solidFill>
                    <w14:schemeClr w14:val="tx1"/>
                  </w14:solidFill>
                </w14:textFill>
              </w:rPr>
            </w:pPr>
          </w:p>
        </w:tc>
      </w:tr>
      <w:tr w14:paraId="525CD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40E9A09A">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649F9EFF">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74155A9A">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32B33A26">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73300C92">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53C6F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388065A1">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6C85A42F">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61C64DEF">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4D7F84FA">
            <w:pPr>
              <w:jc w:val="left"/>
              <w:rPr>
                <w:rFonts w:ascii="华文仿宋" w:hAnsi="华文仿宋" w:eastAsia="华文仿宋" w:cs="华文仿宋"/>
                <w:b/>
                <w:color w:val="000000" w:themeColor="text1"/>
                <w14:textFill>
                  <w14:solidFill>
                    <w14:schemeClr w14:val="tx1"/>
                  </w14:solidFill>
                </w14:textFill>
              </w:rPr>
            </w:pPr>
          </w:p>
        </w:tc>
      </w:tr>
      <w:tr w14:paraId="4649F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73C6396A">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065E69C5">
            <w:pPr>
              <w:jc w:val="left"/>
              <w:rPr>
                <w:rFonts w:ascii="华文仿宋" w:hAnsi="华文仿宋" w:eastAsia="华文仿宋" w:cs="华文仿宋"/>
                <w:b/>
                <w:color w:val="000000" w:themeColor="text1"/>
                <w14:textFill>
                  <w14:solidFill>
                    <w14:schemeClr w14:val="tx1"/>
                  </w14:solidFill>
                </w14:textFill>
              </w:rPr>
            </w:pPr>
          </w:p>
          <w:p w14:paraId="5607702E">
            <w:pPr>
              <w:jc w:val="left"/>
              <w:rPr>
                <w:rFonts w:ascii="华文仿宋" w:hAnsi="华文仿宋" w:eastAsia="华文仿宋" w:cs="华文仿宋"/>
                <w:b/>
                <w:color w:val="000000" w:themeColor="text1"/>
                <w14:textFill>
                  <w14:solidFill>
                    <w14:schemeClr w14:val="tx1"/>
                  </w14:solidFill>
                </w14:textFill>
              </w:rPr>
            </w:pPr>
          </w:p>
          <w:p w14:paraId="1D134669">
            <w:pPr>
              <w:jc w:val="left"/>
              <w:rPr>
                <w:rFonts w:ascii="华文仿宋" w:hAnsi="华文仿宋" w:eastAsia="华文仿宋" w:cs="华文仿宋"/>
                <w:b/>
                <w:color w:val="000000" w:themeColor="text1"/>
                <w14:textFill>
                  <w14:solidFill>
                    <w14:schemeClr w14:val="tx1"/>
                  </w14:solidFill>
                </w14:textFill>
              </w:rPr>
            </w:pPr>
          </w:p>
        </w:tc>
      </w:tr>
    </w:tbl>
    <w:p w14:paraId="4A71B995">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72048D5-405B-43B4-AE01-1701371D3C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FB7F0030-FF75-4C8A-8269-9A537799D1EA}"/>
  </w:font>
  <w:font w:name="仿宋_GB2312">
    <w:panose1 w:val="02010609030101010101"/>
    <w:charset w:val="86"/>
    <w:family w:val="modern"/>
    <w:pitch w:val="default"/>
    <w:sig w:usb0="00000001" w:usb1="080E0000" w:usb2="00000000" w:usb3="00000000" w:csb0="00040000" w:csb1="00000000"/>
    <w:embedRegular r:id="rId3" w:fontKey="{C83563B9-1975-4010-912D-D039D8616C8D}"/>
  </w:font>
  <w:font w:name="方正小标宋简体">
    <w:panose1 w:val="03000509000000000000"/>
    <w:charset w:val="86"/>
    <w:family w:val="auto"/>
    <w:pitch w:val="default"/>
    <w:sig w:usb0="00000001" w:usb1="080E0000" w:usb2="00000000" w:usb3="00000000" w:csb0="00040000" w:csb1="00000000"/>
    <w:embedRegular r:id="rId4" w:fontKey="{0C4E1D5D-681D-44B0-B0D1-82A5FCE034B1}"/>
  </w:font>
  <w:font w:name="仿宋">
    <w:panose1 w:val="02010609060101010101"/>
    <w:charset w:val="86"/>
    <w:family w:val="modern"/>
    <w:pitch w:val="default"/>
    <w:sig w:usb0="800002BF" w:usb1="38CF7CFA" w:usb2="00000016" w:usb3="00000000" w:csb0="00040001" w:csb1="00000000"/>
    <w:embedRegular r:id="rId5" w:fontKey="{D8214056-355D-4FF0-ADC7-3F1F3C55A7D0}"/>
  </w:font>
  <w:font w:name="华文仿宋">
    <w:panose1 w:val="02010600040101010101"/>
    <w:charset w:val="86"/>
    <w:family w:val="auto"/>
    <w:pitch w:val="default"/>
    <w:sig w:usb0="00000287" w:usb1="080F0000" w:usb2="00000000" w:usb3="00000000" w:csb0="0004009F" w:csb1="DFD70000"/>
    <w:embedRegular r:id="rId6" w:fontKey="{6C56578F-6A6A-4D53-9ACF-D54634162059}"/>
  </w:font>
  <w:font w:name="Wingdings 2">
    <w:panose1 w:val="05020102010507070707"/>
    <w:charset w:val="02"/>
    <w:family w:val="roman"/>
    <w:pitch w:val="default"/>
    <w:sig w:usb0="00000000" w:usb1="00000000" w:usb2="00000000" w:usb3="00000000" w:csb0="80000000" w:csb1="00000000"/>
    <w:embedRegular r:id="rId7" w:fontKey="{6B6D9695-47A5-44FE-B9B4-3F315C47A87E}"/>
  </w:font>
  <w:font w:name="楷体_GB2312">
    <w:panose1 w:val="02010609030101010101"/>
    <w:charset w:val="86"/>
    <w:family w:val="modern"/>
    <w:pitch w:val="default"/>
    <w:sig w:usb0="00000001" w:usb1="080E0000" w:usb2="00000000" w:usb3="00000000" w:csb0="00040000" w:csb1="00000000"/>
    <w:embedRegular r:id="rId8" w:fontKey="{EB6A95CD-0111-4BCC-BC55-65BE082740E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285B"/>
    <w:rsid w:val="0002681A"/>
    <w:rsid w:val="00034A6F"/>
    <w:rsid w:val="0004308E"/>
    <w:rsid w:val="00044BD6"/>
    <w:rsid w:val="00050FF2"/>
    <w:rsid w:val="000517B2"/>
    <w:rsid w:val="000519FC"/>
    <w:rsid w:val="0005265E"/>
    <w:rsid w:val="00057D9D"/>
    <w:rsid w:val="00075494"/>
    <w:rsid w:val="000771E4"/>
    <w:rsid w:val="000851EE"/>
    <w:rsid w:val="00091C86"/>
    <w:rsid w:val="00092374"/>
    <w:rsid w:val="00095867"/>
    <w:rsid w:val="00096ED4"/>
    <w:rsid w:val="000A1D1D"/>
    <w:rsid w:val="000A1F39"/>
    <w:rsid w:val="000A2B52"/>
    <w:rsid w:val="000A787A"/>
    <w:rsid w:val="000C0593"/>
    <w:rsid w:val="000C0DA1"/>
    <w:rsid w:val="000D6369"/>
    <w:rsid w:val="000E3FA3"/>
    <w:rsid w:val="000E533D"/>
    <w:rsid w:val="000F2CA8"/>
    <w:rsid w:val="000F2D99"/>
    <w:rsid w:val="00100FFC"/>
    <w:rsid w:val="00101C85"/>
    <w:rsid w:val="00102C2E"/>
    <w:rsid w:val="00105098"/>
    <w:rsid w:val="00106607"/>
    <w:rsid w:val="00112723"/>
    <w:rsid w:val="00113FCE"/>
    <w:rsid w:val="00114957"/>
    <w:rsid w:val="001277D7"/>
    <w:rsid w:val="0013073A"/>
    <w:rsid w:val="00132A9D"/>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67E70"/>
    <w:rsid w:val="00172382"/>
    <w:rsid w:val="0017315C"/>
    <w:rsid w:val="00174766"/>
    <w:rsid w:val="001747A0"/>
    <w:rsid w:val="001927A0"/>
    <w:rsid w:val="001929C4"/>
    <w:rsid w:val="001937C5"/>
    <w:rsid w:val="00196A0D"/>
    <w:rsid w:val="0019702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53D72"/>
    <w:rsid w:val="002611EC"/>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27E2"/>
    <w:rsid w:val="004446B0"/>
    <w:rsid w:val="00452E2B"/>
    <w:rsid w:val="004535DB"/>
    <w:rsid w:val="004617D4"/>
    <w:rsid w:val="004735C8"/>
    <w:rsid w:val="00480914"/>
    <w:rsid w:val="00480D0C"/>
    <w:rsid w:val="00484D85"/>
    <w:rsid w:val="00484E3D"/>
    <w:rsid w:val="00487A9F"/>
    <w:rsid w:val="0049746E"/>
    <w:rsid w:val="0049794F"/>
    <w:rsid w:val="004A3035"/>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5FCC"/>
    <w:rsid w:val="00517B9D"/>
    <w:rsid w:val="005200B8"/>
    <w:rsid w:val="00523C09"/>
    <w:rsid w:val="00524F3F"/>
    <w:rsid w:val="00527169"/>
    <w:rsid w:val="00532F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0DC9"/>
    <w:rsid w:val="00592B9A"/>
    <w:rsid w:val="0059417F"/>
    <w:rsid w:val="005976F3"/>
    <w:rsid w:val="005978C6"/>
    <w:rsid w:val="005B649B"/>
    <w:rsid w:val="005B7CE2"/>
    <w:rsid w:val="005D143B"/>
    <w:rsid w:val="005D1DCF"/>
    <w:rsid w:val="005D31B5"/>
    <w:rsid w:val="005E0914"/>
    <w:rsid w:val="005E09CA"/>
    <w:rsid w:val="005E44BC"/>
    <w:rsid w:val="005E726E"/>
    <w:rsid w:val="005F0BD0"/>
    <w:rsid w:val="005F1CCB"/>
    <w:rsid w:val="005F28A6"/>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6E06"/>
    <w:rsid w:val="00734CFC"/>
    <w:rsid w:val="007560AB"/>
    <w:rsid w:val="00762915"/>
    <w:rsid w:val="00767D5C"/>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7934"/>
    <w:rsid w:val="008700B3"/>
    <w:rsid w:val="0087187B"/>
    <w:rsid w:val="00871899"/>
    <w:rsid w:val="008750CA"/>
    <w:rsid w:val="008769B1"/>
    <w:rsid w:val="00884746"/>
    <w:rsid w:val="008878C7"/>
    <w:rsid w:val="00890502"/>
    <w:rsid w:val="00890C0B"/>
    <w:rsid w:val="00891F0A"/>
    <w:rsid w:val="008A17B3"/>
    <w:rsid w:val="008A3027"/>
    <w:rsid w:val="008A41C4"/>
    <w:rsid w:val="008B0473"/>
    <w:rsid w:val="008B18DB"/>
    <w:rsid w:val="008B2D2C"/>
    <w:rsid w:val="008C0C11"/>
    <w:rsid w:val="008D2AAB"/>
    <w:rsid w:val="008E0518"/>
    <w:rsid w:val="008E2F0F"/>
    <w:rsid w:val="008E342F"/>
    <w:rsid w:val="008E7710"/>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678B5"/>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231B"/>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65E4"/>
    <w:rsid w:val="00AA7E2F"/>
    <w:rsid w:val="00AB0055"/>
    <w:rsid w:val="00AC06A0"/>
    <w:rsid w:val="00AD6CA3"/>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070CF"/>
    <w:rsid w:val="00C10CAE"/>
    <w:rsid w:val="00C11A61"/>
    <w:rsid w:val="00C43ECD"/>
    <w:rsid w:val="00C457E8"/>
    <w:rsid w:val="00C47392"/>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7AE"/>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2BE"/>
    <w:rsid w:val="00DF0D15"/>
    <w:rsid w:val="00E02248"/>
    <w:rsid w:val="00E04297"/>
    <w:rsid w:val="00E0798A"/>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9771C"/>
    <w:rsid w:val="00FA0D1E"/>
    <w:rsid w:val="00FA1788"/>
    <w:rsid w:val="00FB1ACB"/>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CB10376"/>
    <w:rsid w:val="0D132C19"/>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0B322F1"/>
    <w:rsid w:val="210A7A37"/>
    <w:rsid w:val="21FC7CC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08761A"/>
    <w:rsid w:val="28B442A5"/>
    <w:rsid w:val="29115E06"/>
    <w:rsid w:val="294E0E09"/>
    <w:rsid w:val="295108F9"/>
    <w:rsid w:val="29752839"/>
    <w:rsid w:val="2A64465C"/>
    <w:rsid w:val="2A7D32F5"/>
    <w:rsid w:val="2A7F1496"/>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F04676"/>
    <w:rsid w:val="340F089F"/>
    <w:rsid w:val="34B61FE4"/>
    <w:rsid w:val="34FD1935"/>
    <w:rsid w:val="354B08F2"/>
    <w:rsid w:val="35951083"/>
    <w:rsid w:val="35AB313F"/>
    <w:rsid w:val="35CD25D4"/>
    <w:rsid w:val="36713175"/>
    <w:rsid w:val="368816D2"/>
    <w:rsid w:val="36A54032"/>
    <w:rsid w:val="36AE738B"/>
    <w:rsid w:val="371371EE"/>
    <w:rsid w:val="372B776E"/>
    <w:rsid w:val="374E6478"/>
    <w:rsid w:val="3839587C"/>
    <w:rsid w:val="38521F98"/>
    <w:rsid w:val="38547A46"/>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B95009"/>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6178F6"/>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5111D"/>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BB57E40"/>
    <w:rsid w:val="7C030BAC"/>
    <w:rsid w:val="7C354ADD"/>
    <w:rsid w:val="7C39281F"/>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1108</Words>
  <Characters>1241</Characters>
  <Lines>11</Lines>
  <Paragraphs>3</Paragraphs>
  <TotalTime>0</TotalTime>
  <ScaleCrop>false</ScaleCrop>
  <LinksUpToDate>false</LinksUpToDate>
  <CharactersWithSpaces>1445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2025-02-24T06:13:00Z</cp:lastPrinted>
  <dcterms:modified xsi:type="dcterms:W3CDTF">2025-03-15T08:20:22Z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