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第15届北京市大学生化学实验竞赛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评审方案</w:t>
      </w:r>
    </w:p>
    <w:p>
      <w:pPr>
        <w:adjustRightInd w:val="0"/>
        <w:snapToGrid w:val="0"/>
        <w:spacing w:beforeLines="50" w:line="288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本届竞赛采用“创新实验设计赛”模式。为了做到竞赛评审工作“公平、公正”，制定本评审原则。</w:t>
      </w:r>
    </w:p>
    <w:p>
      <w:pPr>
        <w:adjustRightInd w:val="0"/>
        <w:snapToGrid w:val="0"/>
        <w:spacing w:beforeLines="50" w:line="288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一．总则</w:t>
      </w:r>
    </w:p>
    <w:p>
      <w:pPr>
        <w:adjustRightInd w:val="0"/>
        <w:snapToGrid w:val="0"/>
        <w:spacing w:before="50" w:line="288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竞赛组织委员会将坚持 “依靠专家、科学严谨、公正合理”的基本原则，严格遵守经过讨论、通过并公布的程序，做好竞赛评审的组织工作。</w:t>
      </w:r>
    </w:p>
    <w:p>
      <w:pPr>
        <w:adjustRightInd w:val="0"/>
        <w:snapToGrid w:val="0"/>
        <w:spacing w:beforeLines="50" w:line="288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二．评审专家组成</w:t>
      </w:r>
    </w:p>
    <w:p>
      <w:pPr>
        <w:adjustRightInd w:val="0"/>
        <w:snapToGrid w:val="0"/>
        <w:spacing w:before="50" w:line="288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“创新实验设计赛”评审专家由来自全国不同高校长期从事化学实验教学专家组成。</w:t>
      </w:r>
    </w:p>
    <w:p>
      <w:pPr>
        <w:adjustRightInd w:val="0"/>
        <w:snapToGrid w:val="0"/>
        <w:spacing w:beforeLines="50" w:line="288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三．“创新实验设计赛”评审程序</w:t>
      </w:r>
    </w:p>
    <w:p>
      <w:pPr>
        <w:adjustRightInd w:val="0"/>
        <w:snapToGrid w:val="0"/>
        <w:spacing w:before="50" w:line="288" w:lineRule="auto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“创新实验设计赛”采用“通讯评审（初赛）+现场答辩（决赛）”的形式。</w:t>
      </w:r>
    </w:p>
    <w:p>
      <w:pPr>
        <w:adjustRightInd w:val="0"/>
        <w:snapToGrid w:val="0"/>
        <w:spacing w:before="50" w:line="288" w:lineRule="auto"/>
        <w:ind w:firstLine="56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1．通讯评审</w:t>
      </w:r>
    </w:p>
    <w:p>
      <w:pPr>
        <w:adjustRightInd w:val="0"/>
        <w:snapToGrid w:val="0"/>
        <w:spacing w:before="50" w:line="288" w:lineRule="auto"/>
        <w:ind w:firstLine="5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组委会收到参赛作品材料后，根据申报参赛组别（新创实验、改进实验、科普实验）组织评审专家按评审标准分组进行通讯评审。</w:t>
      </w:r>
    </w:p>
    <w:p>
      <w:pPr>
        <w:adjustRightInd w:val="0"/>
        <w:snapToGrid w:val="0"/>
        <w:spacing w:before="50" w:line="288" w:lineRule="auto"/>
        <w:ind w:firstLine="560"/>
        <w:rPr>
          <w:rFonts w:ascii="仿宋" w:hAnsi="仿宋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．现场答辩</w:t>
      </w:r>
    </w:p>
    <w:p>
      <w:pPr>
        <w:adjustRightInd w:val="0"/>
        <w:snapToGrid w:val="0"/>
        <w:spacing w:before="50" w:line="288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竞赛组委会根据报名参赛情况，选择一定比例作品进入决赛（现场答辩）。现场答辩根据申报参赛组别（新创实验、改进实验、科普实验）分组进行。每个项目答辩时间不超过</w:t>
      </w:r>
      <w:r>
        <w:rPr>
          <w:rFonts w:hint="eastAsia" w:ascii="Times New Roman" w:hAnsi="Times New Roman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分钟：陈述时间不超过</w:t>
      </w:r>
      <w:r>
        <w:rPr>
          <w:rFonts w:hint="eastAsia" w:ascii="Times New Roman" w:hAnsi="Times New Roman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分钟（介绍参赛项目的主要内容及创新点），评审专家提问不超过</w:t>
      </w:r>
      <w:r>
        <w:rPr>
          <w:rFonts w:ascii="Times New Roman" w:hAnsi="Times New Roman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分钟。评审专家组根据答辩情况按照评分标准评审。</w:t>
      </w:r>
    </w:p>
    <w:p>
      <w:pPr>
        <w:adjustRightInd w:val="0"/>
        <w:snapToGrid w:val="0"/>
        <w:spacing w:before="50" w:line="288" w:lineRule="auto"/>
        <w:ind w:firstLine="560"/>
        <w:rPr>
          <w:rFonts w:ascii="仿宋" w:hAnsi="仿宋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3</w:t>
      </w:r>
      <w:r>
        <w:rPr>
          <w:rFonts w:hint="eastAsia" w:ascii="仿宋" w:hAnsi="仿宋" w:eastAsia="仿宋"/>
          <w:b/>
          <w:sz w:val="24"/>
          <w:szCs w:val="24"/>
        </w:rPr>
        <w:t>．总成绩</w:t>
      </w:r>
    </w:p>
    <w:p>
      <w:pPr>
        <w:adjustRightInd w:val="0"/>
        <w:snapToGrid w:val="0"/>
        <w:spacing w:before="50" w:line="288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参加决赛阶段参赛作品的总成绩=通讯评审成绩</w:t>
      </w:r>
      <w:r>
        <w:rPr>
          <w:rFonts w:ascii="Times New Roman" w:hAnsi="Times New Roman" w:eastAsia="仿宋"/>
          <w:sz w:val="24"/>
          <w:szCs w:val="24"/>
        </w:rPr>
        <w:t>×0.5＋现场答辩成绩×0.5</w:t>
      </w:r>
      <w:r>
        <w:rPr>
          <w:rFonts w:hint="eastAsia" w:ascii="仿宋" w:hAnsi="仿宋" w:eastAsia="仿宋"/>
          <w:sz w:val="24"/>
          <w:szCs w:val="24"/>
        </w:rPr>
        <w:t>；未进入决赛阶段参赛作品的总成绩=通讯评审成绩×</w:t>
      </w:r>
      <w:r>
        <w:rPr>
          <w:rFonts w:ascii="Times New Roman" w:hAnsi="Times New Roman" w:eastAsia="仿宋"/>
          <w:sz w:val="24"/>
          <w:szCs w:val="24"/>
        </w:rPr>
        <w:t>0.5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djustRightInd w:val="0"/>
        <w:snapToGrid w:val="0"/>
        <w:spacing w:beforeLines="50" w:line="288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四．奖项设置</w:t>
      </w:r>
    </w:p>
    <w:p>
      <w:pPr>
        <w:adjustRightInd w:val="0"/>
        <w:snapToGrid w:val="0"/>
        <w:spacing w:before="50" w:line="288" w:lineRule="auto"/>
        <w:ind w:firstLine="574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本届竞赛只设团队奖（获奖证书上有参赛队员及</w:t>
      </w:r>
      <w:r>
        <w:rPr>
          <w:rFonts w:ascii="仿宋" w:hAnsi="仿宋" w:eastAsia="仿宋"/>
          <w:sz w:val="24"/>
          <w:szCs w:val="24"/>
        </w:rPr>
        <w:t>指导教师</w:t>
      </w:r>
      <w:r>
        <w:rPr>
          <w:rFonts w:hint="eastAsia" w:ascii="仿宋" w:hAnsi="仿宋" w:eastAsia="仿宋"/>
          <w:sz w:val="24"/>
          <w:szCs w:val="24"/>
        </w:rPr>
        <w:t>姓名），其中特等奖</w:t>
      </w:r>
      <w:r>
        <w:rPr>
          <w:rFonts w:ascii="Times New Roman" w:hAnsi="仿宋" w:eastAsia="仿宋"/>
          <w:sz w:val="24"/>
          <w:szCs w:val="24"/>
        </w:rPr>
        <w:t>比例为</w:t>
      </w:r>
      <w:r>
        <w:rPr>
          <w:rFonts w:ascii="Times New Roman" w:hAnsi="Times New Roman" w:eastAsia="仿宋"/>
          <w:sz w:val="24"/>
          <w:szCs w:val="24"/>
        </w:rPr>
        <w:t>15%</w:t>
      </w:r>
      <w:r>
        <w:rPr>
          <w:rFonts w:ascii="Times New Roman" w:hAnsi="仿宋" w:eastAsia="仿宋"/>
          <w:sz w:val="24"/>
          <w:szCs w:val="24"/>
        </w:rPr>
        <w:t>左右、一等奖为</w:t>
      </w:r>
      <w:r>
        <w:rPr>
          <w:rFonts w:ascii="Times New Roman" w:hAnsi="Times New Roman" w:eastAsia="仿宋"/>
          <w:sz w:val="24"/>
          <w:szCs w:val="24"/>
        </w:rPr>
        <w:t>25%</w:t>
      </w:r>
      <w:r>
        <w:rPr>
          <w:rFonts w:ascii="Times New Roman" w:hAnsi="仿宋" w:eastAsia="仿宋"/>
          <w:sz w:val="24"/>
          <w:szCs w:val="24"/>
        </w:rPr>
        <w:t>左右、二等奖为</w:t>
      </w:r>
      <w:r>
        <w:rPr>
          <w:rFonts w:ascii="Times New Roman" w:hAnsi="Times New Roman" w:eastAsia="仿宋"/>
          <w:sz w:val="24"/>
          <w:szCs w:val="24"/>
        </w:rPr>
        <w:t>30%</w:t>
      </w:r>
      <w:r>
        <w:rPr>
          <w:rFonts w:ascii="Times New Roman" w:hAnsi="仿宋" w:eastAsia="仿宋"/>
          <w:sz w:val="24"/>
          <w:szCs w:val="24"/>
        </w:rPr>
        <w:t>左右。</w:t>
      </w:r>
    </w:p>
    <w:p>
      <w:pPr>
        <w:adjustRightInd w:val="0"/>
        <w:snapToGrid w:val="0"/>
        <w:spacing w:before="50" w:line="288" w:lineRule="auto"/>
        <w:ind w:firstLine="574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获奖名单经竞赛组委会确认并报北京市教育委员会公示后正式生效。</w:t>
      </w:r>
    </w:p>
    <w:p>
      <w:pPr>
        <w:adjustRightInd w:val="0"/>
        <w:snapToGrid w:val="0"/>
        <w:ind w:firstLine="3600" w:firstLineChars="1500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ind w:firstLine="3600" w:firstLineChars="1500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ind w:firstLine="3600" w:firstLineChars="1500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ind w:firstLine="2880" w:firstLineChars="1200"/>
        <w:jc w:val="right"/>
        <w:rPr>
          <w:rFonts w:ascii="仿宋" w:hAnsi="仿宋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“</w:t>
      </w:r>
      <w:r>
        <w:rPr>
          <w:rFonts w:ascii="Times New Roman" w:hAnsi="仿宋" w:eastAsia="仿宋"/>
          <w:sz w:val="24"/>
          <w:szCs w:val="24"/>
        </w:rPr>
        <w:t>第</w:t>
      </w:r>
      <w:r>
        <w:rPr>
          <w:rFonts w:ascii="Times New Roman" w:hAnsi="Times New Roman" w:eastAsia="仿宋"/>
          <w:sz w:val="24"/>
          <w:szCs w:val="24"/>
        </w:rPr>
        <w:t>15</w:t>
      </w:r>
      <w:r>
        <w:rPr>
          <w:rFonts w:ascii="Times New Roman" w:hAnsi="仿宋" w:eastAsia="仿宋"/>
          <w:sz w:val="24"/>
          <w:szCs w:val="24"/>
        </w:rPr>
        <w:t>届北京市大学生化学实验竞赛（</w:t>
      </w:r>
      <w:r>
        <w:rPr>
          <w:rFonts w:ascii="Times New Roman" w:hAnsi="Times New Roman" w:eastAsia="仿宋"/>
          <w:sz w:val="24"/>
          <w:szCs w:val="24"/>
        </w:rPr>
        <w:t>2024</w:t>
      </w:r>
      <w:r>
        <w:rPr>
          <w:rFonts w:ascii="Times New Roman" w:hAnsi="仿宋" w:eastAsia="仿宋"/>
          <w:sz w:val="24"/>
          <w:szCs w:val="24"/>
        </w:rPr>
        <w:t>）</w:t>
      </w:r>
      <w:r>
        <w:rPr>
          <w:rFonts w:ascii="Times New Roman" w:hAnsi="Times New Roman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组委会</w:t>
      </w:r>
    </w:p>
    <w:p>
      <w:pPr>
        <w:adjustRightInd w:val="0"/>
        <w:snapToGrid w:val="0"/>
        <w:ind w:firstLine="4632" w:firstLineChars="1930"/>
        <w:jc w:val="righ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202</w:t>
      </w:r>
      <w:r>
        <w:rPr>
          <w:rFonts w:hint="eastAsia" w:ascii="Times New Roman" w:hAnsi="Times New Roman" w:eastAsia="仿宋"/>
          <w:sz w:val="24"/>
          <w:szCs w:val="24"/>
        </w:rPr>
        <w:t>4</w:t>
      </w:r>
      <w:r>
        <w:rPr>
          <w:rFonts w:ascii="Times New Roman" w:hAnsi="Times New Roman" w:eastAsia="仿宋"/>
          <w:sz w:val="24"/>
          <w:szCs w:val="24"/>
        </w:rPr>
        <w:t>年</w:t>
      </w:r>
      <w:r>
        <w:rPr>
          <w:rFonts w:hint="eastAsia" w:ascii="Times New Roman" w:hAnsi="Times New Roman" w:eastAsia="仿宋"/>
          <w:sz w:val="24"/>
          <w:szCs w:val="24"/>
        </w:rPr>
        <w:t>3</w:t>
      </w:r>
      <w:r>
        <w:rPr>
          <w:rFonts w:ascii="Times New Roman" w:hAnsi="Times New Roman" w:eastAsia="仿宋"/>
          <w:sz w:val="24"/>
          <w:szCs w:val="24"/>
        </w:rPr>
        <w:t>月</w:t>
      </w:r>
    </w:p>
    <w:p>
      <w:pPr>
        <w:jc w:val="center"/>
        <w:rPr>
          <w:rFonts w:ascii="Times New Roman" w:hAnsi="Times New Roman" w:eastAsia="黑体"/>
          <w:b/>
          <w:sz w:val="28"/>
          <w:szCs w:val="32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ascii="Times New Roman" w:hAnsi="Times New Roman" w:eastAsia="黑体"/>
          <w:b/>
          <w:sz w:val="30"/>
          <w:szCs w:val="30"/>
        </w:rPr>
        <w:t>“</w:t>
      </w:r>
      <w:r>
        <w:rPr>
          <w:rFonts w:ascii="Times New Roman" w:hAnsi="黑体" w:eastAsia="黑体"/>
          <w:b/>
          <w:sz w:val="30"/>
          <w:szCs w:val="30"/>
        </w:rPr>
        <w:t>第</w:t>
      </w:r>
      <w:r>
        <w:rPr>
          <w:rFonts w:ascii="Times New Roman" w:hAnsi="Times New Roman" w:eastAsia="黑体"/>
          <w:b/>
          <w:sz w:val="30"/>
          <w:szCs w:val="30"/>
        </w:rPr>
        <w:t>15</w:t>
      </w:r>
      <w:r>
        <w:rPr>
          <w:rFonts w:ascii="Times New Roman" w:hAnsi="黑体" w:eastAsia="黑体"/>
          <w:b/>
          <w:sz w:val="30"/>
          <w:szCs w:val="30"/>
        </w:rPr>
        <w:t>届北京市大学生化学实验竞赛（</w:t>
      </w:r>
      <w:r>
        <w:rPr>
          <w:rFonts w:ascii="Times New Roman" w:hAnsi="Times New Roman" w:eastAsia="黑体"/>
          <w:b/>
          <w:sz w:val="30"/>
          <w:szCs w:val="30"/>
        </w:rPr>
        <w:t>2024</w:t>
      </w:r>
      <w:r>
        <w:rPr>
          <w:rFonts w:ascii="Times New Roman" w:hAnsi="黑体" w:eastAsia="黑体"/>
          <w:b/>
          <w:sz w:val="30"/>
          <w:szCs w:val="30"/>
        </w:rPr>
        <w:t>）</w:t>
      </w:r>
      <w:r>
        <w:rPr>
          <w:rFonts w:ascii="Times New Roman" w:hAnsi="Times New Roman" w:eastAsia="黑体"/>
          <w:b/>
          <w:sz w:val="30"/>
          <w:szCs w:val="30"/>
        </w:rPr>
        <w:t>”</w:t>
      </w:r>
      <w:r>
        <w:rPr>
          <w:rFonts w:ascii="Times New Roman" w:hAnsi="黑体" w:eastAsia="黑体"/>
          <w:b/>
          <w:sz w:val="28"/>
          <w:szCs w:val="32"/>
        </w:rPr>
        <w:t>通讯评审标准</w:t>
      </w:r>
    </w:p>
    <w:p>
      <w:pPr>
        <w:adjustRightInd w:val="0"/>
        <w:snapToGrid w:val="0"/>
        <w:spacing w:before="100" w:beforeAutospacing="1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一．科学性和规范性（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hint="eastAsia"/>
          <w:b/>
          <w:sz w:val="24"/>
          <w:szCs w:val="24"/>
        </w:rPr>
        <w:t>分）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94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7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评审要点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指标1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实验目的、原理、内容设计的科学性和完整性（10分）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指标2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实验操作的规范性（15分）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指标3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取得实验数据的准确性、实验数据处理的正确性以及实验结果表达的科学性（15分）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指标4</w:t>
            </w:r>
          </w:p>
        </w:tc>
        <w:tc>
          <w:tcPr>
            <w:tcW w:w="694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书面表达的逻辑性、科学性和规范性（10分）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240"/>
        <w:ind w:firstLine="241" w:firstLine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二．创新性（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hint="eastAsia"/>
          <w:b/>
          <w:sz w:val="24"/>
          <w:szCs w:val="24"/>
        </w:rPr>
        <w:t>分）</w:t>
      </w:r>
    </w:p>
    <w:tbl>
      <w:tblPr>
        <w:tblStyle w:val="2"/>
        <w:tblW w:w="964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945"/>
        <w:gridCol w:w="85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9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评审要点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得分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指标1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实验内容和方案设计有利于启迪学生科学思维和创新意识（10分）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指标2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实验方法体现自主、合作、研究为主的学习方式（10分）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</w:t>
            </w:r>
            <w:r>
              <w:rPr>
                <w:szCs w:val="24"/>
              </w:rPr>
              <w:t>3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注重基础性与先进性的结合，体现科技创新和实验教学改革新成果（5分）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240"/>
        <w:ind w:firstLine="240" w:firstLineChars="1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三．</w:t>
      </w:r>
      <w:r>
        <w:rPr>
          <w:rFonts w:hint="eastAsia"/>
          <w:b/>
          <w:sz w:val="24"/>
          <w:szCs w:val="24"/>
        </w:rPr>
        <w:t>适用性（</w:t>
      </w:r>
      <w:r>
        <w:rPr>
          <w:rFonts w:ascii="Times New Roman" w:hAnsi="Times New Roman"/>
          <w:b/>
          <w:sz w:val="24"/>
          <w:szCs w:val="24"/>
        </w:rPr>
        <w:t>25</w:t>
      </w:r>
      <w:r>
        <w:rPr>
          <w:rFonts w:hint="eastAsia"/>
          <w:b/>
          <w:sz w:val="24"/>
          <w:szCs w:val="24"/>
        </w:rPr>
        <w:t>分）</w:t>
      </w:r>
    </w:p>
    <w:tbl>
      <w:tblPr>
        <w:tblStyle w:val="2"/>
        <w:tblW w:w="9660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945"/>
        <w:gridCol w:w="84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65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adjustRightInd w:val="0"/>
              <w:snapToGrid w:val="0"/>
              <w:ind w:right="3131" w:rightChars="149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评审要点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得分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指标1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与理论教学有机结合，充分体现</w:t>
            </w:r>
            <w:r>
              <w:rPr>
                <w:rFonts w:ascii="Times New Roman" w:hAnsi="Times New Roman"/>
                <w:kern w:val="0"/>
                <w:szCs w:val="24"/>
              </w:rPr>
              <w:t>基础理论，基础操作和基本技能的应用</w:t>
            </w:r>
            <w:r>
              <w:rPr>
                <w:rFonts w:ascii="Times New Roman" w:hAnsi="Times New Roman"/>
                <w:szCs w:val="24"/>
              </w:rPr>
              <w:t>（10分）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指标2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从实验时长、表征手段、试剂和操作安全性等方面适合作为本科生实验教学项目（10分）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指标3</w:t>
            </w:r>
          </w:p>
        </w:tc>
        <w:tc>
          <w:tcPr>
            <w:tcW w:w="694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能够激发学生主动探究的热情（5分）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ˎ̥" w:hAnsi="ˎ̥"/>
          <w:sz w:val="24"/>
          <w:szCs w:val="24"/>
        </w:rPr>
      </w:pPr>
    </w:p>
    <w:p>
      <w:pPr>
        <w:adjustRightInd w:val="0"/>
        <w:snapToGrid w:val="0"/>
        <w:jc w:val="right"/>
        <w:rPr>
          <w:rFonts w:ascii="Times New Roman" w:hAnsi="仿宋" w:eastAsia="仿宋"/>
          <w:sz w:val="24"/>
          <w:szCs w:val="24"/>
        </w:rPr>
      </w:pPr>
      <w:r>
        <w:rPr>
          <w:rFonts w:hint="eastAsia" w:hAnsi="仿宋" w:eastAsia="仿宋"/>
          <w:sz w:val="24"/>
          <w:szCs w:val="24"/>
          <w:lang w:val="en-US" w:eastAsia="zh-CN"/>
        </w:rPr>
        <w:t>2024年</w:t>
      </w:r>
      <w:r>
        <w:rPr>
          <w:rFonts w:ascii="Times New Roman" w:hAnsi="仿宋" w:eastAsia="仿宋"/>
          <w:sz w:val="24"/>
          <w:szCs w:val="24"/>
        </w:rPr>
        <w:t>第</w:t>
      </w:r>
      <w:r>
        <w:rPr>
          <w:rFonts w:ascii="Times New Roman" w:hAnsi="Times New Roman" w:eastAsia="仿宋"/>
          <w:sz w:val="24"/>
          <w:szCs w:val="24"/>
        </w:rPr>
        <w:t>15</w:t>
      </w:r>
      <w:r>
        <w:rPr>
          <w:rFonts w:ascii="Times New Roman" w:hAnsi="仿宋" w:eastAsia="仿宋"/>
          <w:sz w:val="24"/>
          <w:szCs w:val="24"/>
        </w:rPr>
        <w:t>届北京市大学生化学实验竞赛</w:t>
      </w:r>
      <w:r>
        <w:rPr>
          <w:rFonts w:hint="eastAsia" w:ascii="Times New Roman" w:hAnsi="仿宋" w:eastAsia="仿宋"/>
          <w:sz w:val="24"/>
          <w:szCs w:val="24"/>
        </w:rPr>
        <w:t>组委会</w:t>
      </w:r>
    </w:p>
    <w:p>
      <w:pPr>
        <w:adjustRightInd w:val="0"/>
        <w:snapToGrid w:val="0"/>
        <w:jc w:val="center"/>
        <w:rPr>
          <w:rFonts w:ascii="Times New Roman" w:hAnsi="仿宋" w:eastAsia="仿宋"/>
          <w:sz w:val="24"/>
          <w:szCs w:val="24"/>
        </w:rPr>
      </w:pPr>
      <w:r>
        <w:rPr>
          <w:rFonts w:hint="eastAsia" w:hAnsi="仿宋" w:eastAsia="仿宋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仿宋" w:eastAsia="仿宋"/>
          <w:sz w:val="24"/>
          <w:szCs w:val="24"/>
        </w:rPr>
        <w:t>202</w:t>
      </w:r>
      <w:r>
        <w:rPr>
          <w:rFonts w:hint="eastAsia" w:ascii="Times New Roman" w:hAnsi="仿宋" w:eastAsia="仿宋"/>
          <w:sz w:val="24"/>
          <w:szCs w:val="24"/>
        </w:rPr>
        <w:t>4</w:t>
      </w:r>
      <w:r>
        <w:rPr>
          <w:rFonts w:ascii="Times New Roman" w:hAnsi="仿宋" w:eastAsia="仿宋"/>
          <w:sz w:val="24"/>
          <w:szCs w:val="24"/>
        </w:rPr>
        <w:t>年</w:t>
      </w:r>
      <w:r>
        <w:rPr>
          <w:rFonts w:hint="eastAsia" w:ascii="Times New Roman" w:hAnsi="仿宋" w:eastAsia="仿宋"/>
          <w:sz w:val="24"/>
          <w:szCs w:val="24"/>
        </w:rPr>
        <w:t>3</w:t>
      </w:r>
      <w:r>
        <w:rPr>
          <w:rFonts w:ascii="Times New Roman" w:hAnsi="仿宋" w:eastAsia="仿宋"/>
          <w:sz w:val="24"/>
          <w:szCs w:val="24"/>
        </w:rPr>
        <w:t>月</w:t>
      </w:r>
    </w:p>
    <w:p>
      <w:pPr>
        <w:adjustRightInd w:val="0"/>
        <w:snapToGrid w:val="0"/>
        <w:jc w:val="center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ascii="Times New Roman" w:hAnsi="Times New Roman" w:eastAsia="黑体"/>
          <w:b/>
          <w:sz w:val="30"/>
          <w:szCs w:val="30"/>
        </w:rPr>
        <w:t>“</w:t>
      </w:r>
      <w:r>
        <w:rPr>
          <w:rFonts w:ascii="Times New Roman" w:hAnsi="黑体" w:eastAsia="黑体"/>
          <w:b/>
          <w:sz w:val="30"/>
          <w:szCs w:val="30"/>
        </w:rPr>
        <w:t>第</w:t>
      </w:r>
      <w:r>
        <w:rPr>
          <w:rFonts w:ascii="Times New Roman" w:hAnsi="Times New Roman" w:eastAsia="黑体"/>
          <w:b/>
          <w:sz w:val="30"/>
          <w:szCs w:val="30"/>
        </w:rPr>
        <w:t>15</w:t>
      </w:r>
      <w:r>
        <w:rPr>
          <w:rFonts w:ascii="Times New Roman" w:hAnsi="黑体" w:eastAsia="黑体"/>
          <w:b/>
          <w:sz w:val="30"/>
          <w:szCs w:val="30"/>
        </w:rPr>
        <w:t>届北京市大学生化学实验竞赛（</w:t>
      </w:r>
      <w:r>
        <w:rPr>
          <w:rFonts w:ascii="Times New Roman" w:hAnsi="Times New Roman" w:eastAsia="黑体"/>
          <w:b/>
          <w:sz w:val="30"/>
          <w:szCs w:val="30"/>
        </w:rPr>
        <w:t>2024</w:t>
      </w:r>
      <w:r>
        <w:rPr>
          <w:rFonts w:ascii="Times New Roman" w:hAnsi="黑体" w:eastAsia="黑体"/>
          <w:b/>
          <w:sz w:val="30"/>
          <w:szCs w:val="30"/>
        </w:rPr>
        <w:t>）</w:t>
      </w:r>
      <w:r>
        <w:rPr>
          <w:rFonts w:ascii="Times New Roman" w:hAnsi="Times New Roman" w:eastAsia="黑体"/>
          <w:b/>
          <w:sz w:val="30"/>
          <w:szCs w:val="30"/>
        </w:rPr>
        <w:t>”</w:t>
      </w:r>
    </w:p>
    <w:p>
      <w:pPr>
        <w:adjustRightInd w:val="0"/>
        <w:snapToGrid w:val="0"/>
        <w:spacing w:after="100" w:afterAutospacing="1"/>
        <w:jc w:val="center"/>
        <w:rPr>
          <w:rFonts w:ascii="黑体" w:hAnsi="黑体" w:eastAsia="黑体" w:cs="宋体"/>
          <w:b/>
          <w:bCs/>
          <w:color w:val="000000"/>
          <w:spacing w:val="15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pacing w:val="15"/>
          <w:kern w:val="0"/>
          <w:sz w:val="30"/>
          <w:szCs w:val="30"/>
        </w:rPr>
        <w:t>现场答辩评分标准</w:t>
      </w:r>
    </w:p>
    <w:tbl>
      <w:tblPr>
        <w:tblStyle w:val="2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要  评 分 内  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1．陈述</w:t>
            </w:r>
            <w:r>
              <w:rPr>
                <w:rFonts w:ascii="黑体" w:eastAsia="黑体"/>
                <w:szCs w:val="21"/>
              </w:rPr>
              <w:t>内容的</w:t>
            </w:r>
            <w:r>
              <w:rPr>
                <w:rFonts w:hint="eastAsia" w:ascii="黑体" w:eastAsia="黑体"/>
                <w:szCs w:val="21"/>
              </w:rPr>
              <w:t>完整性（20分）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/>
                <w:szCs w:val="21"/>
              </w:rPr>
              <w:t>A  简洁</w:t>
            </w:r>
            <w:r>
              <w:rPr>
                <w:szCs w:val="21"/>
              </w:rPr>
              <w:t>地介绍了</w:t>
            </w:r>
            <w:r>
              <w:rPr>
                <w:rFonts w:hint="eastAsia"/>
                <w:szCs w:val="21"/>
              </w:rPr>
              <w:t>实验设计</w:t>
            </w:r>
            <w:r>
              <w:rPr>
                <w:szCs w:val="21"/>
              </w:rPr>
              <w:t>思想</w:t>
            </w:r>
            <w:r>
              <w:rPr>
                <w:rFonts w:hint="eastAsia"/>
                <w:szCs w:val="21"/>
              </w:rPr>
              <w:t>（研究</w:t>
            </w:r>
            <w:r>
              <w:rPr>
                <w:szCs w:val="21"/>
              </w:rPr>
              <w:t>方案科学性及</w:t>
            </w:r>
            <w:r>
              <w:rPr>
                <w:rFonts w:hint="eastAsia"/>
                <w:szCs w:val="21"/>
              </w:rPr>
              <w:t>作为</w:t>
            </w:r>
            <w:r>
              <w:rPr>
                <w:szCs w:val="21"/>
              </w:rPr>
              <w:t>本科生实验教学项目的必要性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所需药品</w:t>
            </w:r>
            <w:r>
              <w:rPr>
                <w:szCs w:val="21"/>
              </w:rPr>
              <w:t>仪器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基本操作</w:t>
            </w:r>
            <w:r>
              <w:rPr>
                <w:rFonts w:hint="eastAsia"/>
                <w:szCs w:val="21"/>
              </w:rPr>
              <w:t>、数据重复性</w:t>
            </w:r>
            <w:r>
              <w:rPr>
                <w:szCs w:val="21"/>
              </w:rPr>
              <w:t>可靠性及结果分析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>等。</w:t>
            </w:r>
          </w:p>
          <w:p>
            <w:pPr>
              <w:adjustRightInd w:val="0"/>
              <w:snapToGrid w:val="0"/>
              <w:spacing w:beforeLines="45" w:afterLines="45"/>
              <w:ind w:right="-1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  在</w:t>
            </w:r>
            <w:r>
              <w:rPr>
                <w:szCs w:val="21"/>
              </w:rPr>
              <w:t>陈述过程中</w:t>
            </w:r>
            <w:r>
              <w:rPr>
                <w:rFonts w:hint="eastAsia"/>
                <w:szCs w:val="21"/>
              </w:rPr>
              <w:t>缺失1</w:t>
            </w:r>
            <w:r>
              <w:rPr>
                <w:szCs w:val="21"/>
              </w:rPr>
              <w:t>-2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>关键</w:t>
            </w:r>
            <w:r>
              <w:rPr>
                <w:rFonts w:hint="eastAsia"/>
                <w:szCs w:val="21"/>
              </w:rPr>
              <w:t>信息</w:t>
            </w:r>
            <w:r>
              <w:rPr>
                <w:szCs w:val="21"/>
              </w:rPr>
              <w:t xml:space="preserve">。    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beforeLines="45" w:afterLines="45"/>
              <w:ind w:right="-1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  在陈述</w:t>
            </w:r>
            <w:r>
              <w:rPr>
                <w:szCs w:val="21"/>
              </w:rPr>
              <w:t>过程缺少</w:t>
            </w:r>
            <w:r>
              <w:rPr>
                <w:rFonts w:hint="eastAsia"/>
                <w:szCs w:val="21"/>
              </w:rPr>
              <w:t>较多关键</w:t>
            </w:r>
            <w:r>
              <w:rPr>
                <w:szCs w:val="21"/>
              </w:rPr>
              <w:t xml:space="preserve">信息。  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  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15-20分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11-15分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2．陈述</w:t>
            </w:r>
            <w:r>
              <w:rPr>
                <w:rFonts w:ascii="黑体" w:eastAsia="黑体"/>
                <w:szCs w:val="21"/>
              </w:rPr>
              <w:t>过程的</w:t>
            </w:r>
            <w:r>
              <w:rPr>
                <w:rFonts w:hint="eastAsia" w:ascii="黑体" w:eastAsia="黑体"/>
                <w:szCs w:val="21"/>
              </w:rPr>
              <w:t>规范性（</w:t>
            </w:r>
            <w:r>
              <w:rPr>
                <w:rFonts w:ascii="黑体" w:eastAsia="黑体"/>
                <w:szCs w:val="21"/>
              </w:rPr>
              <w:t>10</w:t>
            </w:r>
            <w:r>
              <w:rPr>
                <w:rFonts w:hint="eastAsia" w:ascii="黑体" w:eastAsia="黑体"/>
                <w:szCs w:val="21"/>
              </w:rPr>
              <w:t>分）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/>
                <w:szCs w:val="21"/>
              </w:rPr>
              <w:t>A  层次清晰，逻辑性强；专业</w:t>
            </w:r>
            <w:r>
              <w:rPr>
                <w:szCs w:val="21"/>
              </w:rPr>
              <w:t>术语</w:t>
            </w:r>
            <w:r>
              <w:rPr>
                <w:rFonts w:hint="eastAsia"/>
                <w:szCs w:val="21"/>
              </w:rPr>
              <w:t>使用得当。</w:t>
            </w:r>
            <w:r>
              <w:rPr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beforeLines="45" w:afterLines="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  出现1</w:t>
            </w:r>
            <w:r>
              <w:rPr>
                <w:szCs w:val="21"/>
              </w:rPr>
              <w:t>-2</w:t>
            </w:r>
            <w:r>
              <w:rPr>
                <w:rFonts w:hint="eastAsia"/>
                <w:szCs w:val="21"/>
              </w:rPr>
              <w:t>处</w:t>
            </w:r>
            <w:r>
              <w:rPr>
                <w:szCs w:val="21"/>
              </w:rPr>
              <w:t xml:space="preserve">科学性或学术性表述错误。         </w:t>
            </w:r>
            <w:r>
              <w:rPr>
                <w:rFonts w:hint="eastAsia"/>
                <w:szCs w:val="21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spacing w:beforeLines="45" w:afterLines="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  出现较多</w:t>
            </w:r>
            <w:r>
              <w:rPr>
                <w:szCs w:val="21"/>
              </w:rPr>
              <w:t xml:space="preserve">的科学性或学术性表述错误。        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3．回答问题（</w:t>
            </w:r>
            <w:r>
              <w:rPr>
                <w:rFonts w:ascii="黑体" w:eastAsia="黑体"/>
                <w:szCs w:val="21"/>
              </w:rPr>
              <w:t>20</w:t>
            </w:r>
            <w:r>
              <w:rPr>
                <w:rFonts w:hint="eastAsia" w:ascii="黑体" w:eastAsia="黑体"/>
                <w:szCs w:val="21"/>
              </w:rPr>
              <w:t>分）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/>
                <w:szCs w:val="21"/>
              </w:rPr>
              <w:t>A  对于实验方案</w:t>
            </w:r>
            <w:r>
              <w:rPr>
                <w:szCs w:val="21"/>
              </w:rPr>
              <w:t>设计理解到位，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szCs w:val="21"/>
              </w:rPr>
              <w:t>可靠、结果分析合理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adjustRightInd w:val="0"/>
              <w:snapToGrid w:val="0"/>
              <w:spacing w:beforeLines="45" w:afterLines="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  对于实验</w:t>
            </w:r>
            <w:r>
              <w:rPr>
                <w:szCs w:val="21"/>
              </w:rPr>
              <w:t xml:space="preserve">方案理解不到位，但回答实验操作和数据处理问题正确；    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spacing w:beforeLines="45" w:afterLines="45"/>
              <w:jc w:val="left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  在回答</w:t>
            </w:r>
            <w:r>
              <w:rPr>
                <w:szCs w:val="21"/>
              </w:rPr>
              <w:t>有关实验</w:t>
            </w:r>
            <w:r>
              <w:rPr>
                <w:rFonts w:hint="eastAsia"/>
                <w:szCs w:val="21"/>
              </w:rPr>
              <w:t>操作细节</w:t>
            </w:r>
            <w:r>
              <w:rPr>
                <w:szCs w:val="21"/>
              </w:rPr>
              <w:t>或数据处理</w:t>
            </w:r>
            <w:r>
              <w:rPr>
                <w:rFonts w:hint="eastAsia"/>
                <w:szCs w:val="21"/>
              </w:rPr>
              <w:t>方法</w:t>
            </w:r>
            <w:r>
              <w:rPr>
                <w:szCs w:val="21"/>
              </w:rPr>
              <w:t>等</w:t>
            </w:r>
            <w:r>
              <w:rPr>
                <w:rFonts w:hint="eastAsia"/>
                <w:szCs w:val="21"/>
              </w:rPr>
              <w:t>问题时出现错误</w:t>
            </w:r>
            <w:r>
              <w:rPr>
                <w:szCs w:val="21"/>
              </w:rPr>
              <w:t xml:space="preserve">。         </w:t>
            </w:r>
            <w:r>
              <w:rPr>
                <w:rFonts w:hint="eastAsia"/>
                <w:szCs w:val="21"/>
              </w:rPr>
              <w:t xml:space="preserve">                                                      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-2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4.若</w:t>
            </w:r>
            <w:r>
              <w:rPr>
                <w:rFonts w:ascii="黑体" w:eastAsia="黑体"/>
                <w:szCs w:val="21"/>
              </w:rPr>
              <w:t>在现场答辩环节</w:t>
            </w:r>
            <w:r>
              <w:rPr>
                <w:rFonts w:hint="eastAsia" w:ascii="黑体" w:eastAsia="黑体"/>
                <w:szCs w:val="21"/>
              </w:rPr>
              <w:t>出现</w:t>
            </w:r>
            <w:r>
              <w:rPr>
                <w:rFonts w:ascii="黑体" w:eastAsia="黑体"/>
                <w:szCs w:val="21"/>
              </w:rPr>
              <w:t>下列情形，</w:t>
            </w:r>
            <w:r>
              <w:rPr>
                <w:rFonts w:hint="eastAsia" w:ascii="黑体" w:eastAsia="黑体"/>
                <w:szCs w:val="21"/>
              </w:rPr>
              <w:t>评委</w:t>
            </w:r>
            <w:r>
              <w:rPr>
                <w:rFonts w:ascii="黑体" w:eastAsia="黑体"/>
                <w:szCs w:val="21"/>
              </w:rPr>
              <w:t>可以</w:t>
            </w:r>
            <w:r>
              <w:rPr>
                <w:rFonts w:hint="eastAsia" w:ascii="黑体" w:eastAsia="黑体"/>
                <w:szCs w:val="21"/>
              </w:rPr>
              <w:t>行使</w:t>
            </w:r>
            <w:r>
              <w:rPr>
                <w:rFonts w:ascii="黑体" w:eastAsia="黑体"/>
                <w:szCs w:val="21"/>
              </w:rPr>
              <w:t>“</w:t>
            </w:r>
            <w:r>
              <w:rPr>
                <w:rFonts w:hint="eastAsia" w:ascii="黑体" w:eastAsia="黑体"/>
                <w:szCs w:val="21"/>
              </w:rPr>
              <w:t>一票</w:t>
            </w:r>
            <w:r>
              <w:rPr>
                <w:rFonts w:ascii="黑体" w:eastAsia="黑体"/>
                <w:szCs w:val="21"/>
              </w:rPr>
              <w:t>否决权”*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ascii="黑体" w:eastAsia="黑体"/>
                <w:szCs w:val="21"/>
              </w:rPr>
              <w:t>A</w:t>
            </w:r>
            <w:r>
              <w:rPr>
                <w:rFonts w:hint="eastAsia"/>
                <w:szCs w:val="21"/>
              </w:rPr>
              <w:t>评委认为参赛作品严重</w:t>
            </w:r>
            <w:r>
              <w:rPr>
                <w:szCs w:val="21"/>
              </w:rPr>
              <w:t>缺乏科学性或规范性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/>
                <w:szCs w:val="21"/>
              </w:rPr>
              <w:t>B评委有证据表明参赛</w:t>
            </w:r>
            <w:r>
              <w:rPr>
                <w:szCs w:val="21"/>
              </w:rPr>
              <w:t>选手</w:t>
            </w:r>
            <w:r>
              <w:rPr>
                <w:rFonts w:hint="eastAsia"/>
                <w:szCs w:val="21"/>
              </w:rPr>
              <w:t>存在</w:t>
            </w:r>
            <w:r>
              <w:rPr>
                <w:szCs w:val="21"/>
              </w:rPr>
              <w:t>着</w:t>
            </w:r>
            <w:r>
              <w:rPr>
                <w:rFonts w:hint="eastAsia"/>
                <w:szCs w:val="21"/>
              </w:rPr>
              <w:t>未实际</w:t>
            </w:r>
            <w:r>
              <w:rPr>
                <w:szCs w:val="21"/>
              </w:rPr>
              <w:t>参与实验</w:t>
            </w:r>
            <w:r>
              <w:rPr>
                <w:rFonts w:hint="eastAsia"/>
                <w:szCs w:val="21"/>
              </w:rPr>
              <w:t>过程</w:t>
            </w:r>
            <w:r>
              <w:rPr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Lines="45" w:afterLines="45"/>
              <w:rPr>
                <w:szCs w:val="21"/>
              </w:rPr>
            </w:pPr>
            <w:r>
              <w:rPr>
                <w:rFonts w:hint="eastAsia"/>
                <w:szCs w:val="21"/>
              </w:rPr>
              <w:t>C 评委有证据表明参赛组存在剽窃他人成果的行为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行使“</w:t>
            </w:r>
            <w:r>
              <w:rPr>
                <w:rFonts w:hint="eastAsia"/>
                <w:szCs w:val="21"/>
              </w:rPr>
              <w:t>一票</w:t>
            </w:r>
            <w:r>
              <w:rPr>
                <w:szCs w:val="21"/>
              </w:rPr>
              <w:t>否决”</w:t>
            </w:r>
          </w:p>
          <w:p>
            <w:pPr>
              <w:adjustRightInd w:val="0"/>
              <w:snapToGrid w:val="0"/>
              <w:spacing w:beforeLines="45" w:afterLines="45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45" w:type="dxa"/>
            <w:noWrap w:val="0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总分值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adjustRightInd w:val="0"/>
              <w:snapToGrid w:val="0"/>
              <w:spacing w:beforeLines="40" w:afterLines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50分</w:t>
            </w:r>
          </w:p>
        </w:tc>
      </w:tr>
    </w:tbl>
    <w:p>
      <w:r>
        <w:t>*</w:t>
      </w:r>
      <w:r>
        <w:rPr>
          <w:rFonts w:hint="eastAsia"/>
        </w:rPr>
        <w:t>若有1位</w:t>
      </w:r>
      <w:r>
        <w:t>评委提出“</w:t>
      </w:r>
      <w:r>
        <w:rPr>
          <w:rFonts w:hint="eastAsia"/>
        </w:rPr>
        <w:t>一票</w:t>
      </w:r>
      <w:r>
        <w:t>否决”</w:t>
      </w:r>
      <w:r>
        <w:rPr>
          <w:rFonts w:hint="eastAsia"/>
        </w:rPr>
        <w:t>，需</w:t>
      </w:r>
      <w:r>
        <w:t>及时通知组委会秘书处收集</w:t>
      </w:r>
      <w:r>
        <w:rPr>
          <w:rFonts w:hint="eastAsia"/>
        </w:rPr>
        <w:t>相关</w:t>
      </w:r>
      <w:r>
        <w:t>作品及答辩现场资料，组织</w:t>
      </w:r>
      <w:r>
        <w:rPr>
          <w:rFonts w:hint="eastAsia"/>
        </w:rPr>
        <w:t>竞赛</w:t>
      </w:r>
      <w:r>
        <w:t>组委会专门会议进行复核，并根据复核结果进行后续处理。</w:t>
      </w:r>
      <w:r>
        <w:rPr>
          <w:rFonts w:hint="eastAsia"/>
        </w:rPr>
        <w:t>若两位</w:t>
      </w:r>
      <w:r>
        <w:t>及以上评委</w:t>
      </w:r>
      <w:r>
        <w:rPr>
          <w:rFonts w:hint="eastAsia"/>
        </w:rPr>
        <w:t>对</w:t>
      </w:r>
      <w:r>
        <w:t>同一</w:t>
      </w:r>
      <w:r>
        <w:rPr>
          <w:rFonts w:hint="eastAsia"/>
        </w:rPr>
        <w:t>作品</w:t>
      </w:r>
      <w:r>
        <w:t>提出</w:t>
      </w:r>
      <w:r>
        <w:rPr>
          <w:rFonts w:hint="eastAsia"/>
        </w:rPr>
        <w:t>“一票</w:t>
      </w:r>
      <w:r>
        <w:t>否决</w:t>
      </w:r>
      <w:r>
        <w:rPr>
          <w:rFonts w:hint="eastAsia"/>
        </w:rPr>
        <w:t>”，则</w:t>
      </w:r>
      <w:r>
        <w:t>直接</w:t>
      </w:r>
      <w:r>
        <w:rPr>
          <w:rFonts w:hint="eastAsia"/>
        </w:rPr>
        <w:t>取消</w:t>
      </w:r>
      <w:r>
        <w:t>该</w:t>
      </w:r>
      <w:r>
        <w:rPr>
          <w:rFonts w:hint="eastAsia"/>
        </w:rPr>
        <w:t>团队</w:t>
      </w:r>
      <w:r>
        <w:t>的</w:t>
      </w:r>
      <w:r>
        <w:rPr>
          <w:rFonts w:hint="eastAsia"/>
        </w:rPr>
        <w:t>获奖</w:t>
      </w:r>
      <w:r>
        <w:t>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jc w:val="right"/>
        <w:rPr>
          <w:rFonts w:ascii="Times New Roman" w:hAnsi="仿宋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“</w:t>
      </w:r>
      <w:r>
        <w:rPr>
          <w:rFonts w:ascii="Times New Roman" w:hAnsi="仿宋" w:eastAsia="仿宋"/>
          <w:sz w:val="24"/>
          <w:szCs w:val="24"/>
        </w:rPr>
        <w:t>第</w:t>
      </w:r>
      <w:r>
        <w:rPr>
          <w:rFonts w:ascii="Times New Roman" w:hAnsi="Times New Roman" w:eastAsia="仿宋"/>
          <w:sz w:val="24"/>
          <w:szCs w:val="24"/>
        </w:rPr>
        <w:t>15</w:t>
      </w:r>
      <w:r>
        <w:rPr>
          <w:rFonts w:ascii="Times New Roman" w:hAnsi="仿宋" w:eastAsia="仿宋"/>
          <w:sz w:val="24"/>
          <w:szCs w:val="24"/>
        </w:rPr>
        <w:t>届北京市大学生化学实验竞赛（</w:t>
      </w:r>
      <w:r>
        <w:rPr>
          <w:rFonts w:ascii="Times New Roman" w:hAnsi="Times New Roman" w:eastAsia="仿宋"/>
          <w:sz w:val="24"/>
          <w:szCs w:val="24"/>
        </w:rPr>
        <w:t>2024</w:t>
      </w:r>
      <w:r>
        <w:rPr>
          <w:rFonts w:ascii="Times New Roman" w:hAnsi="仿宋" w:eastAsia="仿宋"/>
          <w:sz w:val="24"/>
          <w:szCs w:val="24"/>
        </w:rPr>
        <w:t>）</w:t>
      </w:r>
      <w:r>
        <w:rPr>
          <w:rFonts w:ascii="Times New Roman" w:hAnsi="Times New Roman" w:eastAsia="仿宋"/>
          <w:sz w:val="24"/>
          <w:szCs w:val="24"/>
        </w:rPr>
        <w:t>”</w:t>
      </w:r>
      <w:r>
        <w:rPr>
          <w:rFonts w:hint="eastAsia" w:ascii="Times New Roman" w:hAnsi="仿宋" w:eastAsia="仿宋"/>
          <w:sz w:val="24"/>
          <w:szCs w:val="24"/>
        </w:rPr>
        <w:t>组委会</w:t>
      </w:r>
    </w:p>
    <w:p>
      <w:r>
        <w:rPr>
          <w:rFonts w:hint="eastAsia" w:ascii="Times New Roman" w:hAnsi="仿宋" w:eastAsia="仿宋"/>
          <w:sz w:val="24"/>
          <w:szCs w:val="24"/>
        </w:rPr>
        <w:t>20</w:t>
      </w:r>
      <w:r>
        <w:rPr>
          <w:rFonts w:ascii="Times New Roman" w:hAnsi="仿宋" w:eastAsia="仿宋"/>
          <w:sz w:val="24"/>
          <w:szCs w:val="24"/>
        </w:rPr>
        <w:t>2</w:t>
      </w:r>
      <w:r>
        <w:rPr>
          <w:rFonts w:hint="eastAsia" w:ascii="Times New Roman" w:hAnsi="仿宋" w:eastAsia="仿宋"/>
          <w:sz w:val="24"/>
          <w:szCs w:val="24"/>
        </w:rPr>
        <w:t>4年3月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616E449E"/>
    <w:rsid w:val="37B13A6E"/>
    <w:rsid w:val="616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2024-04-09T08:48:00Z</dcterms:created>
  <dc:creator>苏坡云☁️</dc:creator>
  <cp:lastModifiedBy>苏坡云☁️</cp:lastModifiedBy>
  <dcterms:modified xsi:type="dcterms:W3CDTF">2024-04-09T08:48:55Z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0280CC7ADD7C446F9D3517004EBE0190_13</vt:lpwstr>
  </property>
</Properties>
</file>